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65BAE1">
      <w:pPr>
        <w:spacing w:line="480" w:lineRule="auto"/>
        <w:jc w:val="both"/>
        <w:rPr>
          <w:rFonts w:ascii="Times New Roman" w:hAnsi="Times New Roman" w:cs="Times New Roman"/>
          <w:b/>
          <w:sz w:val="24"/>
          <w:szCs w:val="24"/>
        </w:rPr>
      </w:pPr>
    </w:p>
    <w:p w14:paraId="7FE76789">
      <w:pPr>
        <w:jc w:val="center"/>
        <w:rPr>
          <w:rFonts w:ascii="Times New Roman" w:hAnsi="Times New Roman" w:cs="Times New Roman"/>
          <w:b/>
          <w:sz w:val="24"/>
          <w:szCs w:val="24"/>
        </w:rPr>
      </w:pPr>
      <w:r>
        <w:rPr>
          <w:rFonts w:ascii="Times New Roman" w:hAnsi="Times New Roman" w:cs="Times New Roman"/>
          <w:b/>
          <w:sz w:val="24"/>
          <w:szCs w:val="24"/>
        </w:rPr>
        <w:t>TITLE PAGE</w:t>
      </w:r>
    </w:p>
    <w:p w14:paraId="47A764CD">
      <w:pPr>
        <w:jc w:val="center"/>
        <w:rPr>
          <w:rFonts w:ascii="Times New Roman" w:hAnsi="Times New Roman" w:cs="Times New Roman"/>
          <w:b/>
          <w:sz w:val="24"/>
          <w:szCs w:val="24"/>
        </w:rPr>
      </w:pPr>
    </w:p>
    <w:p w14:paraId="50061838">
      <w:pPr>
        <w:jc w:val="center"/>
        <w:rPr>
          <w:rFonts w:ascii="Times New Roman" w:hAnsi="Times New Roman" w:cs="Times New Roman"/>
          <w:b/>
          <w:sz w:val="24"/>
          <w:szCs w:val="24"/>
        </w:rPr>
      </w:pPr>
    </w:p>
    <w:p w14:paraId="2B61E69E">
      <w:pPr>
        <w:jc w:val="center"/>
        <w:rPr>
          <w:rFonts w:ascii="Times New Roman" w:hAnsi="Times New Roman" w:cs="Times New Roman"/>
          <w:b/>
          <w:sz w:val="24"/>
          <w:szCs w:val="24"/>
        </w:rPr>
      </w:pPr>
      <w:r>
        <w:rPr>
          <w:rFonts w:ascii="Times New Roman" w:hAnsi="Times New Roman" w:cs="Times New Roman"/>
          <w:b/>
          <w:sz w:val="24"/>
          <w:szCs w:val="24"/>
        </w:rPr>
        <w:t>AN APPRAISAL OF THE ESTABLISHMENT OF THE COMPETITION AND CONSUMER PROTECTION TRIBUNAL UNDER THE FEDERAL COMPETITION AND CONSUMER PROTECTION ACT, 2018</w:t>
      </w:r>
    </w:p>
    <w:p w14:paraId="4B4C529C">
      <w:pPr>
        <w:jc w:val="both"/>
        <w:rPr>
          <w:rFonts w:ascii="Times New Roman" w:hAnsi="Times New Roman" w:cs="Times New Roman"/>
          <w:b/>
          <w:sz w:val="24"/>
          <w:szCs w:val="24"/>
        </w:rPr>
      </w:pPr>
    </w:p>
    <w:p w14:paraId="49643313">
      <w:pPr>
        <w:jc w:val="center"/>
        <w:rPr>
          <w:rFonts w:ascii="Times New Roman" w:hAnsi="Times New Roman" w:cs="Times New Roman"/>
          <w:b/>
          <w:sz w:val="24"/>
          <w:szCs w:val="24"/>
        </w:rPr>
      </w:pPr>
    </w:p>
    <w:p w14:paraId="2EF99AC9">
      <w:pPr>
        <w:jc w:val="center"/>
        <w:rPr>
          <w:rFonts w:ascii="Times New Roman" w:hAnsi="Times New Roman" w:cs="Times New Roman"/>
          <w:b/>
          <w:sz w:val="24"/>
          <w:szCs w:val="24"/>
        </w:rPr>
      </w:pPr>
      <w:r>
        <w:rPr>
          <w:rFonts w:ascii="Times New Roman" w:hAnsi="Times New Roman" w:cs="Times New Roman"/>
          <w:b/>
          <w:sz w:val="24"/>
          <w:szCs w:val="24"/>
        </w:rPr>
        <w:t xml:space="preserve">A THESIS SUBMITTED TO THE FACULTY OF LAW, ENUGU STATE UNIVERSITY OF SCIENCE AND TECHNOLOGY (ESUT) IN PARTIAL FULFILMENT OF THE REQUIREMENTS FOR THE AWARD OF THE BACHELOR OF LAWS (LL. B) DEGREE </w:t>
      </w:r>
    </w:p>
    <w:p w14:paraId="29FCBEC1">
      <w:pPr>
        <w:jc w:val="both"/>
        <w:rPr>
          <w:rFonts w:ascii="Times New Roman" w:hAnsi="Times New Roman" w:cs="Times New Roman"/>
          <w:b/>
          <w:sz w:val="24"/>
          <w:szCs w:val="24"/>
        </w:rPr>
      </w:pPr>
    </w:p>
    <w:p w14:paraId="5CAF32C9">
      <w:pPr>
        <w:jc w:val="center"/>
        <w:rPr>
          <w:rFonts w:ascii="Times New Roman" w:hAnsi="Times New Roman" w:cs="Times New Roman"/>
          <w:b/>
          <w:sz w:val="24"/>
          <w:szCs w:val="24"/>
        </w:rPr>
      </w:pPr>
    </w:p>
    <w:p w14:paraId="2236CF19">
      <w:pPr>
        <w:jc w:val="center"/>
        <w:rPr>
          <w:rFonts w:ascii="Times New Roman" w:hAnsi="Times New Roman" w:cs="Times New Roman"/>
          <w:b/>
          <w:sz w:val="24"/>
          <w:szCs w:val="24"/>
        </w:rPr>
      </w:pPr>
      <w:r>
        <w:rPr>
          <w:rFonts w:ascii="Times New Roman" w:hAnsi="Times New Roman" w:cs="Times New Roman"/>
          <w:b/>
          <w:sz w:val="24"/>
          <w:szCs w:val="24"/>
        </w:rPr>
        <w:t>BY</w:t>
      </w:r>
    </w:p>
    <w:p w14:paraId="37CE5932">
      <w:pPr>
        <w:jc w:val="center"/>
        <w:rPr>
          <w:rFonts w:ascii="Times New Roman" w:hAnsi="Times New Roman" w:cs="Times New Roman"/>
          <w:b/>
          <w:sz w:val="24"/>
          <w:szCs w:val="24"/>
        </w:rPr>
      </w:pPr>
    </w:p>
    <w:p w14:paraId="69E8DD3A">
      <w:pPr>
        <w:jc w:val="center"/>
        <w:rPr>
          <w:rFonts w:ascii="Times New Roman" w:hAnsi="Times New Roman" w:cs="Times New Roman"/>
          <w:b/>
          <w:sz w:val="24"/>
          <w:szCs w:val="24"/>
        </w:rPr>
      </w:pPr>
    </w:p>
    <w:p w14:paraId="24DB6490">
      <w:pPr>
        <w:jc w:val="center"/>
        <w:rPr>
          <w:rFonts w:ascii="Times New Roman" w:hAnsi="Times New Roman" w:cs="Times New Roman"/>
          <w:b/>
          <w:sz w:val="24"/>
          <w:szCs w:val="24"/>
        </w:rPr>
      </w:pPr>
    </w:p>
    <w:p w14:paraId="44723664">
      <w:pPr>
        <w:jc w:val="center"/>
        <w:rPr>
          <w:rFonts w:ascii="Times New Roman" w:hAnsi="Times New Roman" w:cs="Times New Roman"/>
          <w:b/>
          <w:sz w:val="24"/>
          <w:szCs w:val="24"/>
        </w:rPr>
      </w:pPr>
      <w:r>
        <w:rPr>
          <w:rFonts w:ascii="Times New Roman" w:hAnsi="Times New Roman" w:cs="Times New Roman"/>
          <w:b/>
          <w:sz w:val="24"/>
          <w:szCs w:val="24"/>
        </w:rPr>
        <w:t>ODO, CLIFFORD CHIMAOGE</w:t>
      </w:r>
    </w:p>
    <w:p w14:paraId="14EAFACB">
      <w:pPr>
        <w:jc w:val="center"/>
        <w:rPr>
          <w:rFonts w:ascii="Times New Roman" w:hAnsi="Times New Roman" w:cs="Times New Roman"/>
          <w:b/>
          <w:sz w:val="24"/>
          <w:szCs w:val="24"/>
        </w:rPr>
      </w:pPr>
      <w:r>
        <w:rPr>
          <w:rFonts w:ascii="Times New Roman" w:hAnsi="Times New Roman" w:cs="Times New Roman"/>
          <w:b/>
          <w:sz w:val="24"/>
          <w:szCs w:val="24"/>
        </w:rPr>
        <w:t>2018030183044</w:t>
      </w:r>
    </w:p>
    <w:p w14:paraId="6BE4879B">
      <w:pPr>
        <w:jc w:val="both"/>
        <w:rPr>
          <w:rFonts w:ascii="Times New Roman" w:hAnsi="Times New Roman" w:cs="Times New Roman"/>
          <w:b/>
          <w:sz w:val="24"/>
          <w:szCs w:val="24"/>
        </w:rPr>
      </w:pPr>
    </w:p>
    <w:p w14:paraId="41F7B08E">
      <w:pPr>
        <w:jc w:val="center"/>
        <w:rPr>
          <w:rFonts w:ascii="Times New Roman" w:hAnsi="Times New Roman" w:cs="Times New Roman"/>
          <w:b/>
          <w:sz w:val="24"/>
          <w:szCs w:val="24"/>
        </w:rPr>
      </w:pPr>
      <w:r>
        <w:rPr>
          <w:rFonts w:ascii="Times New Roman" w:hAnsi="Times New Roman" w:cs="Times New Roman"/>
          <w:b/>
          <w:sz w:val="24"/>
          <w:szCs w:val="24"/>
        </w:rPr>
        <w:t>SUPERVISOR: DR CHIJIOKE AGBO</w:t>
      </w:r>
    </w:p>
    <w:p w14:paraId="1576ADED">
      <w:pPr>
        <w:jc w:val="center"/>
        <w:rPr>
          <w:rFonts w:ascii="Times New Roman" w:hAnsi="Times New Roman" w:cs="Times New Roman"/>
          <w:b/>
          <w:sz w:val="24"/>
          <w:szCs w:val="24"/>
        </w:rPr>
      </w:pPr>
      <w:r>
        <w:rPr>
          <w:rFonts w:ascii="Times New Roman" w:hAnsi="Times New Roman" w:cs="Times New Roman"/>
          <w:b/>
          <w:sz w:val="24"/>
          <w:szCs w:val="24"/>
        </w:rPr>
        <w:t>DECEMBER, 2023</w:t>
      </w:r>
    </w:p>
    <w:p w14:paraId="3A18F65E">
      <w:pPr>
        <w:rPr>
          <w:rFonts w:ascii="Times New Roman" w:hAnsi="Times New Roman" w:cs="Times New Roman"/>
          <w:sz w:val="24"/>
          <w:szCs w:val="24"/>
        </w:rPr>
      </w:pPr>
    </w:p>
    <w:p w14:paraId="32BD770E">
      <w:pPr>
        <w:rPr>
          <w:rFonts w:ascii="Times New Roman" w:hAnsi="Times New Roman" w:cs="Times New Roman"/>
          <w:sz w:val="24"/>
          <w:szCs w:val="24"/>
        </w:rPr>
      </w:pPr>
    </w:p>
    <w:p w14:paraId="0CE30BC1">
      <w:pPr>
        <w:spacing w:after="0" w:line="360" w:lineRule="auto"/>
        <w:jc w:val="center"/>
        <w:rPr>
          <w:rFonts w:ascii="Times New Roman" w:hAnsi="Times New Roman" w:eastAsia="Times New Roman" w:cs="Times New Roman"/>
          <w:b/>
          <w:bCs/>
          <w:kern w:val="2"/>
          <w:sz w:val="24"/>
          <w:szCs w:val="24"/>
        </w:rPr>
      </w:pPr>
      <w:r>
        <w:rPr>
          <w:rFonts w:ascii="Times New Roman" w:hAnsi="Times New Roman" w:eastAsia="Times New Roman" w:cs="Times New Roman"/>
          <w:b/>
          <w:bCs/>
          <w:kern w:val="2"/>
          <w:sz w:val="24"/>
          <w:szCs w:val="24"/>
        </w:rPr>
        <w:t>DECLARATION</w:t>
      </w:r>
    </w:p>
    <w:p w14:paraId="0980A077">
      <w:pPr>
        <w:spacing w:after="0" w:line="480" w:lineRule="auto"/>
        <w:jc w:val="both"/>
        <w:rPr>
          <w:rFonts w:ascii="Times New Roman" w:hAnsi="Times New Roman" w:eastAsia="Times New Roman" w:cs="Times New Roman"/>
          <w:sz w:val="24"/>
          <w:szCs w:val="24"/>
        </w:rPr>
      </w:pPr>
    </w:p>
    <w:p w14:paraId="1D4E9140">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This is to declare that this work titled, "AN APPRAISAL OF THE ESTABLISHMENT OF THE COMPETITION AND CONSUMER PROTECTION TRIBUNAL UNDER THE FEDERAL COMPETITION AND CONSUMER PROTECTION ACT, 2018" was written by Odo Clifford Chimaoge with Registration Number </w:t>
      </w:r>
      <w:r>
        <w:rPr>
          <w:rFonts w:ascii="Times New Roman" w:hAnsi="Times New Roman" w:eastAsia="Times New Roman" w:cs="Times New Roman"/>
          <w:b/>
          <w:sz w:val="24"/>
          <w:szCs w:val="24"/>
        </w:rPr>
        <w:t>20180301843044</w:t>
      </w:r>
      <w:r>
        <w:rPr>
          <w:rFonts w:ascii="Times New Roman" w:hAnsi="Times New Roman" w:eastAsia="Times New Roman" w:cs="Times New Roman"/>
          <w:sz w:val="24"/>
          <w:szCs w:val="24"/>
        </w:rPr>
        <w:t xml:space="preserve"> of the Faculty of Law, Enugu State University of Science and Technology, ESUT, under the supervision and guidance of Dr Chijioke Agbo from the reference to other works duly acknowledged, This is an original work and the results embodied in this work have not been submitted to any other University or Institution of learning  for the award of any degree or diploma, nor been published elsewhere.</w:t>
      </w:r>
    </w:p>
    <w:p w14:paraId="2D115EFB">
      <w:pPr>
        <w:spacing w:after="0" w:line="480" w:lineRule="auto"/>
        <w:jc w:val="both"/>
        <w:rPr>
          <w:rFonts w:ascii="Times New Roman" w:hAnsi="Times New Roman" w:eastAsia="Times New Roman" w:cs="Times New Roman"/>
          <w:kern w:val="2"/>
          <w:sz w:val="24"/>
          <w:szCs w:val="24"/>
        </w:rPr>
      </w:pPr>
    </w:p>
    <w:p w14:paraId="1F685505">
      <w:pPr>
        <w:spacing w:after="0" w:line="480" w:lineRule="auto"/>
        <w:jc w:val="both"/>
        <w:rPr>
          <w:rFonts w:ascii="Times New Roman" w:hAnsi="Times New Roman" w:eastAsia="Times New Roman" w:cs="Times New Roman"/>
          <w:kern w:val="2"/>
          <w:sz w:val="24"/>
          <w:szCs w:val="24"/>
        </w:rPr>
      </w:pPr>
    </w:p>
    <w:p w14:paraId="022755C4">
      <w:pPr>
        <w:spacing w:after="0" w:line="360" w:lineRule="auto"/>
        <w:jc w:val="both"/>
        <w:rPr>
          <w:rFonts w:ascii="Times New Roman" w:hAnsi="Times New Roman" w:eastAsia="Times New Roman" w:cs="Times New Roman"/>
          <w:kern w:val="2"/>
          <w:sz w:val="24"/>
          <w:szCs w:val="24"/>
        </w:rPr>
      </w:pPr>
    </w:p>
    <w:p w14:paraId="0FA326CD">
      <w:pPr>
        <w:spacing w:after="0" w:line="360" w:lineRule="auto"/>
        <w:jc w:val="both"/>
        <w:rPr>
          <w:rFonts w:ascii="Times New Roman" w:hAnsi="Times New Roman" w:eastAsia="Times New Roman" w:cs="Times New Roman"/>
          <w:kern w:val="2"/>
          <w:sz w:val="24"/>
          <w:szCs w:val="24"/>
        </w:rPr>
      </w:pPr>
    </w:p>
    <w:p w14:paraId="09B1FE94">
      <w:pPr>
        <w:spacing w:after="0" w:line="360" w:lineRule="auto"/>
        <w:jc w:val="both"/>
        <w:rPr>
          <w:rFonts w:ascii="Times New Roman" w:hAnsi="Times New Roman" w:eastAsia="Times New Roman" w:cs="Times New Roman"/>
          <w:kern w:val="2"/>
          <w:sz w:val="24"/>
          <w:szCs w:val="24"/>
        </w:rPr>
      </w:pPr>
      <w:r>
        <w:rPr>
          <w:rFonts w:ascii="Times New Roman" w:hAnsi="Times New Roman" w:eastAsia="Times New Roman" w:cs="Times New Roman"/>
          <w:kern w:val="2"/>
          <w:sz w:val="24"/>
          <w:szCs w:val="24"/>
        </w:rPr>
        <w:t>_________________________                                                     ___________________</w:t>
      </w:r>
      <w:r>
        <w:rPr>
          <w:rFonts w:ascii="Times New Roman" w:hAnsi="Times New Roman" w:eastAsia="Times New Roman" w:cs="Times New Roman"/>
          <w:kern w:val="2"/>
          <w:sz w:val="24"/>
          <w:szCs w:val="24"/>
        </w:rPr>
        <w:tab/>
      </w:r>
      <w:r>
        <w:rPr>
          <w:rFonts w:ascii="Times New Roman" w:hAnsi="Times New Roman" w:eastAsia="Times New Roman" w:cs="Times New Roman"/>
          <w:kern w:val="2"/>
          <w:sz w:val="24"/>
          <w:szCs w:val="24"/>
        </w:rPr>
        <w:tab/>
      </w:r>
    </w:p>
    <w:p w14:paraId="7A28AA12">
      <w:pPr>
        <w:spacing w:after="0" w:line="360" w:lineRule="auto"/>
        <w:jc w:val="both"/>
        <w:rPr>
          <w:rFonts w:ascii="Times New Roman" w:hAnsi="Times New Roman" w:eastAsia="Times New Roman" w:cs="Times New Roman"/>
          <w:b/>
          <w:bCs/>
          <w:kern w:val="2"/>
          <w:sz w:val="24"/>
          <w:szCs w:val="24"/>
        </w:rPr>
      </w:pPr>
      <w:r>
        <w:rPr>
          <w:rFonts w:ascii="Times New Roman" w:hAnsi="Times New Roman" w:eastAsia="Times New Roman" w:cs="Times New Roman"/>
          <w:b/>
          <w:bCs/>
          <w:kern w:val="2"/>
          <w:sz w:val="24"/>
          <w:szCs w:val="24"/>
        </w:rPr>
        <w:t xml:space="preserve">Odo Clifford Chimaoge                                                                     Date          </w:t>
      </w:r>
    </w:p>
    <w:p w14:paraId="256F1C3D">
      <w:pPr>
        <w:spacing w:after="0" w:line="360" w:lineRule="auto"/>
        <w:jc w:val="center"/>
        <w:rPr>
          <w:rFonts w:ascii="Times New Roman" w:hAnsi="Times New Roman" w:eastAsia="Times New Roman" w:cs="Times New Roman"/>
          <w:b/>
          <w:bCs/>
          <w:kern w:val="2"/>
          <w:sz w:val="24"/>
          <w:szCs w:val="24"/>
          <w:u w:val="single"/>
        </w:rPr>
      </w:pPr>
    </w:p>
    <w:p w14:paraId="5ADBBB34">
      <w:pPr>
        <w:spacing w:after="0" w:line="360" w:lineRule="auto"/>
        <w:jc w:val="center"/>
        <w:rPr>
          <w:rFonts w:ascii="Times New Roman" w:hAnsi="Times New Roman" w:eastAsia="Times New Roman" w:cs="Times New Roman"/>
          <w:b/>
          <w:bCs/>
          <w:kern w:val="2"/>
          <w:sz w:val="24"/>
          <w:szCs w:val="24"/>
          <w:u w:val="single"/>
        </w:rPr>
      </w:pPr>
    </w:p>
    <w:p w14:paraId="24B10D9E">
      <w:pPr>
        <w:spacing w:after="0" w:line="240" w:lineRule="auto"/>
        <w:rPr>
          <w:rFonts w:ascii="Times New Roman" w:hAnsi="Times New Roman" w:cs="Times New Roman" w:eastAsiaTheme="minorEastAsia"/>
          <w:kern w:val="2"/>
          <w:sz w:val="24"/>
          <w:szCs w:val="24"/>
        </w:rPr>
      </w:pPr>
    </w:p>
    <w:p w14:paraId="5D40BEBA">
      <w:pPr>
        <w:rPr>
          <w:rFonts w:ascii="Times New Roman" w:hAnsi="Times New Roman" w:cs="Times New Roman"/>
          <w:sz w:val="24"/>
          <w:szCs w:val="24"/>
        </w:rPr>
      </w:pPr>
    </w:p>
    <w:p w14:paraId="6376AE03">
      <w:pPr>
        <w:rPr>
          <w:rFonts w:ascii="Times New Roman" w:hAnsi="Times New Roman" w:cs="Times New Roman"/>
          <w:sz w:val="24"/>
          <w:szCs w:val="24"/>
        </w:rPr>
      </w:pPr>
    </w:p>
    <w:p w14:paraId="2DCCAE04">
      <w:pPr>
        <w:rPr>
          <w:rFonts w:ascii="Times New Roman" w:hAnsi="Times New Roman" w:cs="Times New Roman"/>
          <w:sz w:val="24"/>
          <w:szCs w:val="24"/>
        </w:rPr>
      </w:pPr>
    </w:p>
    <w:p w14:paraId="65B11AAE">
      <w:pPr>
        <w:rPr>
          <w:rFonts w:ascii="Times New Roman" w:hAnsi="Times New Roman" w:cs="Times New Roman"/>
          <w:sz w:val="24"/>
          <w:szCs w:val="24"/>
        </w:rPr>
      </w:pPr>
    </w:p>
    <w:p w14:paraId="1971E2CC">
      <w:pPr>
        <w:rPr>
          <w:rFonts w:ascii="Times New Roman" w:hAnsi="Times New Roman" w:cs="Times New Roman"/>
          <w:sz w:val="24"/>
          <w:szCs w:val="24"/>
        </w:rPr>
      </w:pPr>
    </w:p>
    <w:p w14:paraId="18254FEE">
      <w:pPr>
        <w:rPr>
          <w:rFonts w:ascii="Times New Roman" w:hAnsi="Times New Roman" w:cs="Times New Roman"/>
          <w:sz w:val="24"/>
          <w:szCs w:val="24"/>
        </w:rPr>
      </w:pPr>
    </w:p>
    <w:p w14:paraId="6AFE8DEE">
      <w:pPr>
        <w:spacing w:line="360" w:lineRule="auto"/>
        <w:jc w:val="center"/>
        <w:rPr>
          <w:rFonts w:ascii="Times New Roman" w:hAnsi="Times New Roman" w:cs="Times New Roman"/>
          <w:b/>
          <w:bCs/>
          <w:sz w:val="24"/>
          <w:szCs w:val="24"/>
        </w:rPr>
      </w:pPr>
    </w:p>
    <w:p w14:paraId="7D88AD31">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APPROVAL</w:t>
      </w:r>
    </w:p>
    <w:p w14:paraId="08D767C1">
      <w:pPr>
        <w:spacing w:line="360" w:lineRule="auto"/>
        <w:rPr>
          <w:rFonts w:ascii="Times New Roman" w:hAnsi="Times New Roman" w:cs="Times New Roman"/>
          <w:b/>
          <w:bCs/>
          <w:sz w:val="24"/>
          <w:szCs w:val="24"/>
        </w:rPr>
      </w:pPr>
    </w:p>
    <w:p w14:paraId="6A83A1A1">
      <w:pPr>
        <w:spacing w:line="360" w:lineRule="auto"/>
        <w:rPr>
          <w:rFonts w:ascii="Times New Roman" w:hAnsi="Times New Roman" w:cs="Times New Roman"/>
          <w:bCs/>
          <w:sz w:val="24"/>
          <w:szCs w:val="24"/>
        </w:rPr>
      </w:pPr>
      <w:r>
        <w:rPr>
          <w:rFonts w:ascii="Times New Roman" w:hAnsi="Times New Roman" w:cs="Times New Roman"/>
          <w:bCs/>
          <w:sz w:val="24"/>
          <w:szCs w:val="24"/>
        </w:rPr>
        <w:t>This project: “</w:t>
      </w:r>
      <w:r>
        <w:rPr>
          <w:rFonts w:ascii="Times New Roman" w:hAnsi="Times New Roman" w:eastAsia="Times New Roman" w:cs="Times New Roman"/>
          <w:sz w:val="24"/>
          <w:szCs w:val="24"/>
        </w:rPr>
        <w:t>An Appraisal of the Establishment of the Competition and Consumer Protection Tribunal under the Federal Competition and Consumer Protection Act, 2018”</w:t>
      </w:r>
      <w:r>
        <w:rPr>
          <w:rFonts w:ascii="Times New Roman" w:hAnsi="Times New Roman" w:cs="Times New Roman"/>
          <w:bCs/>
          <w:sz w:val="24"/>
          <w:szCs w:val="24"/>
        </w:rPr>
        <w:t xml:space="preserve"> has bee</w:t>
      </w:r>
      <w:r>
        <w:rPr>
          <w:rFonts w:hint="default" w:ascii="Times New Roman" w:hAnsi="Times New Roman" w:cs="Times New Roman"/>
          <w:bCs/>
          <w:sz w:val="24"/>
          <w:szCs w:val="24"/>
          <w:lang w:val="en-US"/>
        </w:rPr>
        <w:t>n</w:t>
      </w:r>
      <w:r>
        <w:rPr>
          <w:rFonts w:ascii="Times New Roman" w:hAnsi="Times New Roman" w:cs="Times New Roman"/>
          <w:bCs/>
          <w:sz w:val="24"/>
          <w:szCs w:val="24"/>
        </w:rPr>
        <w:t xml:space="preserve"> read and approved by the undersigned as meeting the requirement of the Faculty of Law, Enugu State University of Science and Technology(ESUT) Enugu, for the award of Bachelor of Laws (LL.B) Degree.</w:t>
      </w:r>
    </w:p>
    <w:p w14:paraId="1CE0F66D">
      <w:pPr>
        <w:spacing w:line="360" w:lineRule="auto"/>
        <w:rPr>
          <w:rFonts w:ascii="Times New Roman" w:hAnsi="Times New Roman" w:cs="Times New Roman"/>
          <w:bCs/>
          <w:sz w:val="24"/>
          <w:szCs w:val="24"/>
        </w:rPr>
      </w:pPr>
    </w:p>
    <w:p w14:paraId="50656199">
      <w:pPr>
        <w:spacing w:line="360" w:lineRule="auto"/>
        <w:rPr>
          <w:rFonts w:ascii="Times New Roman" w:hAnsi="Times New Roman" w:cs="Times New Roman"/>
          <w:bCs/>
          <w:sz w:val="24"/>
          <w:szCs w:val="24"/>
        </w:rPr>
      </w:pPr>
    </w:p>
    <w:p w14:paraId="4AD30125">
      <w:pPr>
        <w:spacing w:line="360" w:lineRule="auto"/>
        <w:rPr>
          <w:rFonts w:ascii="Times New Roman" w:hAnsi="Times New Roman" w:cs="Times New Roman"/>
          <w:bCs/>
          <w:sz w:val="24"/>
          <w:szCs w:val="24"/>
        </w:rPr>
      </w:pPr>
      <w:r>
        <w:rPr>
          <w:rFonts w:ascii="Times New Roman" w:hAnsi="Times New Roman" w:cs="Times New Roman"/>
          <w:bCs/>
          <w:sz w:val="24"/>
          <w:szCs w:val="24"/>
        </w:rPr>
        <w:t>__________________________                                           ________________________</w:t>
      </w:r>
    </w:p>
    <w:p w14:paraId="05C11F10">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DR CHIJIOKE AGBO                                                                                      </w:t>
      </w:r>
      <w:r>
        <w:rPr>
          <w:rFonts w:ascii="Times New Roman" w:hAnsi="Times New Roman" w:cs="Times New Roman"/>
          <w:b/>
          <w:bCs/>
          <w:sz w:val="24"/>
          <w:szCs w:val="24"/>
        </w:rPr>
        <w:tab/>
      </w:r>
      <w:r>
        <w:rPr>
          <w:rFonts w:ascii="Times New Roman" w:hAnsi="Times New Roman" w:cs="Times New Roman"/>
          <w:b/>
          <w:bCs/>
          <w:sz w:val="24"/>
          <w:szCs w:val="24"/>
        </w:rPr>
        <w:t xml:space="preserve">DATE  </w:t>
      </w:r>
      <w:r>
        <w:rPr>
          <w:rFonts w:ascii="Times New Roman" w:hAnsi="Times New Roman" w:cs="Times New Roman"/>
          <w:b/>
          <w:bCs/>
          <w:sz w:val="24"/>
          <w:szCs w:val="24"/>
        </w:rPr>
        <w:tab/>
      </w:r>
    </w:p>
    <w:p w14:paraId="1C24741E">
      <w:pPr>
        <w:spacing w:line="360" w:lineRule="auto"/>
        <w:rPr>
          <w:rFonts w:ascii="Times New Roman" w:hAnsi="Times New Roman" w:cs="Times New Roman"/>
          <w:b/>
          <w:bCs/>
          <w:sz w:val="24"/>
          <w:szCs w:val="24"/>
        </w:rPr>
      </w:pPr>
      <w:r>
        <w:rPr>
          <w:rFonts w:ascii="Times New Roman" w:hAnsi="Times New Roman" w:cs="Times New Roman"/>
          <w:b/>
          <w:bCs/>
          <w:sz w:val="24"/>
          <w:szCs w:val="24"/>
        </w:rPr>
        <w:t>PROJECT SUPERVISOR</w:t>
      </w:r>
    </w:p>
    <w:p w14:paraId="56CBBD82">
      <w:pPr>
        <w:spacing w:line="360" w:lineRule="auto"/>
        <w:rPr>
          <w:rFonts w:ascii="Times New Roman" w:hAnsi="Times New Roman" w:cs="Times New Roman"/>
          <w:b/>
          <w:bCs/>
          <w:sz w:val="24"/>
          <w:szCs w:val="24"/>
        </w:rPr>
      </w:pPr>
    </w:p>
    <w:p w14:paraId="0109ADCF">
      <w:pPr>
        <w:spacing w:line="360" w:lineRule="auto"/>
        <w:rPr>
          <w:rFonts w:ascii="Times New Roman" w:hAnsi="Times New Roman" w:cs="Times New Roman"/>
          <w:b/>
          <w:bCs/>
          <w:sz w:val="24"/>
          <w:szCs w:val="24"/>
        </w:rPr>
      </w:pPr>
    </w:p>
    <w:p w14:paraId="0864ED77">
      <w:pPr>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__________________________                         </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________________________</w:t>
      </w:r>
    </w:p>
    <w:p w14:paraId="65227892">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PROF SIMON UCHENNA ORTUANYA                                     DATE                                      </w:t>
      </w:r>
    </w:p>
    <w:p w14:paraId="7825D5B9">
      <w:pPr>
        <w:spacing w:line="360" w:lineRule="auto"/>
        <w:rPr>
          <w:rFonts w:ascii="Times New Roman" w:hAnsi="Times New Roman" w:cs="Times New Roman"/>
          <w:b/>
          <w:bCs/>
          <w:sz w:val="24"/>
          <w:szCs w:val="24"/>
        </w:rPr>
      </w:pPr>
      <w:r>
        <w:rPr>
          <w:rFonts w:ascii="Times New Roman" w:hAnsi="Times New Roman" w:cs="Times New Roman"/>
          <w:b/>
          <w:bCs/>
          <w:sz w:val="24"/>
          <w:szCs w:val="24"/>
        </w:rPr>
        <w:t>DEAN, FACULTY OF LAW</w:t>
      </w:r>
    </w:p>
    <w:p w14:paraId="7614B51F">
      <w:pPr>
        <w:spacing w:line="360" w:lineRule="auto"/>
        <w:rPr>
          <w:rFonts w:ascii="Times New Roman" w:hAnsi="Times New Roman" w:cs="Times New Roman"/>
          <w:b/>
          <w:bCs/>
          <w:sz w:val="24"/>
          <w:szCs w:val="24"/>
        </w:rPr>
      </w:pPr>
    </w:p>
    <w:p w14:paraId="69C366B7">
      <w:pPr>
        <w:spacing w:line="360" w:lineRule="auto"/>
        <w:rPr>
          <w:rFonts w:ascii="Times New Roman" w:hAnsi="Times New Roman" w:cs="Times New Roman"/>
          <w:b/>
          <w:bCs/>
          <w:sz w:val="24"/>
          <w:szCs w:val="24"/>
        </w:rPr>
      </w:pPr>
    </w:p>
    <w:p w14:paraId="72D40EAE">
      <w:pPr>
        <w:spacing w:line="360" w:lineRule="auto"/>
        <w:rPr>
          <w:rFonts w:ascii="Times New Roman" w:hAnsi="Times New Roman" w:cs="Times New Roman"/>
          <w:bCs/>
          <w:sz w:val="24"/>
          <w:szCs w:val="24"/>
        </w:rPr>
      </w:pPr>
      <w:r>
        <w:rPr>
          <w:rFonts w:ascii="Times New Roman" w:hAnsi="Times New Roman" w:cs="Times New Roman"/>
          <w:bCs/>
          <w:sz w:val="24"/>
          <w:szCs w:val="24"/>
        </w:rPr>
        <w:t>__________________________                                            ________________________</w:t>
      </w:r>
    </w:p>
    <w:p w14:paraId="34B37A27">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EXTERNAL SUPERVISOR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 xml:space="preserve">DATE                          </w:t>
      </w:r>
    </w:p>
    <w:p w14:paraId="7B2E69A6">
      <w:pPr>
        <w:spacing w:line="360" w:lineRule="auto"/>
        <w:rPr>
          <w:rFonts w:ascii="Times New Roman" w:hAnsi="Times New Roman" w:cs="Times New Roman"/>
          <w:b/>
          <w:bCs/>
          <w:sz w:val="24"/>
          <w:szCs w:val="24"/>
        </w:rPr>
      </w:pPr>
    </w:p>
    <w:p w14:paraId="5B4C0C7E">
      <w:pPr>
        <w:spacing w:line="360" w:lineRule="auto"/>
        <w:rPr>
          <w:rFonts w:ascii="Times New Roman" w:hAnsi="Times New Roman" w:cs="Times New Roman"/>
          <w:b/>
          <w:bCs/>
          <w:sz w:val="24"/>
          <w:szCs w:val="24"/>
        </w:rPr>
      </w:pPr>
    </w:p>
    <w:p w14:paraId="64498E75">
      <w:pPr>
        <w:jc w:val="center"/>
        <w:rPr>
          <w:rFonts w:ascii="Times New Roman" w:hAnsi="Times New Roman" w:cs="Times New Roman"/>
          <w:b/>
          <w:sz w:val="24"/>
          <w:szCs w:val="24"/>
        </w:rPr>
      </w:pPr>
      <w:r>
        <w:rPr>
          <w:rFonts w:ascii="Times New Roman" w:hAnsi="Times New Roman" w:cs="Times New Roman"/>
          <w:b/>
          <w:sz w:val="24"/>
          <w:szCs w:val="24"/>
        </w:rPr>
        <w:t>DEDICATION</w:t>
      </w:r>
    </w:p>
    <w:p w14:paraId="29E2EA77">
      <w:pPr>
        <w:rPr>
          <w:rFonts w:ascii="Times New Roman" w:hAnsi="Times New Roman" w:cs="Times New Roman"/>
          <w:sz w:val="24"/>
          <w:szCs w:val="24"/>
        </w:rPr>
      </w:pPr>
      <w:r>
        <w:rPr>
          <w:rFonts w:ascii="Times New Roman" w:hAnsi="Times New Roman" w:cs="Times New Roman"/>
          <w:sz w:val="24"/>
          <w:szCs w:val="24"/>
        </w:rPr>
        <w:t>I dedicate this work to my late grandmother, Nwunyennaya Odo (Oboigede) who left to rejoice with the Most High God on 7th of</w:t>
      </w:r>
      <w:r>
        <w:rPr>
          <w:rFonts w:hint="default" w:ascii="Times New Roman" w:hAnsi="Times New Roman" w:cs="Times New Roman"/>
          <w:sz w:val="24"/>
          <w:szCs w:val="24"/>
          <w:lang w:val="en-US"/>
        </w:rPr>
        <w:t xml:space="preserve"> </w:t>
      </w:r>
      <w:r>
        <w:rPr>
          <w:rFonts w:ascii="Times New Roman" w:hAnsi="Times New Roman" w:cs="Times New Roman"/>
          <w:sz w:val="24"/>
          <w:szCs w:val="24"/>
        </w:rPr>
        <w:t xml:space="preserve"> May, 2022 (aged 105 years)</w:t>
      </w:r>
      <w:r>
        <w:rPr>
          <w:rFonts w:hint="default" w:ascii="Times New Roman" w:hAnsi="Times New Roman" w:cs="Times New Roman"/>
          <w:sz w:val="24"/>
          <w:szCs w:val="24"/>
          <w:lang w:val="en-US"/>
        </w:rPr>
        <w:t xml:space="preserve">; may her soul continue to rest in peace. </w:t>
      </w:r>
      <w:r>
        <w:rPr>
          <w:rFonts w:ascii="Times New Roman" w:hAnsi="Times New Roman" w:cs="Times New Roman"/>
          <w:sz w:val="24"/>
          <w:szCs w:val="24"/>
        </w:rPr>
        <w:t xml:space="preserve"> </w:t>
      </w:r>
    </w:p>
    <w:p w14:paraId="43BCCC4D">
      <w:pPr>
        <w:rPr>
          <w:rFonts w:ascii="Times New Roman" w:hAnsi="Times New Roman" w:cs="Times New Roman"/>
          <w:b/>
          <w:bCs/>
          <w:sz w:val="24"/>
          <w:szCs w:val="24"/>
        </w:rPr>
      </w:pPr>
    </w:p>
    <w:p w14:paraId="687B50B2">
      <w:pPr>
        <w:rPr>
          <w:rFonts w:ascii="Times New Roman" w:hAnsi="Times New Roman" w:cs="Times New Roman"/>
          <w:b/>
          <w:bCs/>
          <w:sz w:val="24"/>
          <w:szCs w:val="24"/>
        </w:rPr>
      </w:pPr>
    </w:p>
    <w:p w14:paraId="4CC4D3F1">
      <w:pPr>
        <w:rPr>
          <w:rFonts w:ascii="Times New Roman" w:hAnsi="Times New Roman" w:cs="Times New Roman"/>
          <w:b/>
          <w:bCs/>
          <w:sz w:val="24"/>
          <w:szCs w:val="24"/>
        </w:rPr>
      </w:pPr>
    </w:p>
    <w:p w14:paraId="24A81991">
      <w:pPr>
        <w:spacing w:line="480" w:lineRule="auto"/>
        <w:rPr>
          <w:rFonts w:ascii="Times New Roman" w:hAnsi="Times New Roman" w:cs="Times New Roman"/>
          <w:b/>
          <w:bCs/>
          <w:sz w:val="24"/>
          <w:szCs w:val="24"/>
        </w:rPr>
      </w:pPr>
    </w:p>
    <w:p w14:paraId="59CA6F15">
      <w:pPr>
        <w:rPr>
          <w:rFonts w:ascii="Times New Roman" w:hAnsi="Times New Roman" w:cs="Times New Roman"/>
          <w:sz w:val="24"/>
          <w:szCs w:val="24"/>
        </w:rPr>
      </w:pPr>
    </w:p>
    <w:p w14:paraId="3B9C8E4D">
      <w:pPr>
        <w:rPr>
          <w:rFonts w:ascii="Times New Roman" w:hAnsi="Times New Roman" w:cs="Times New Roman"/>
          <w:sz w:val="24"/>
          <w:szCs w:val="24"/>
        </w:rPr>
      </w:pPr>
    </w:p>
    <w:p w14:paraId="4BD7E401">
      <w:pPr>
        <w:rPr>
          <w:rFonts w:ascii="Times New Roman" w:hAnsi="Times New Roman" w:cs="Times New Roman"/>
          <w:sz w:val="24"/>
          <w:szCs w:val="24"/>
        </w:rPr>
      </w:pPr>
    </w:p>
    <w:p w14:paraId="37EF0B82">
      <w:pPr>
        <w:rPr>
          <w:rFonts w:ascii="Times New Roman" w:hAnsi="Times New Roman" w:cs="Times New Roman"/>
          <w:sz w:val="24"/>
          <w:szCs w:val="24"/>
        </w:rPr>
      </w:pPr>
    </w:p>
    <w:p w14:paraId="448424B7">
      <w:pPr>
        <w:rPr>
          <w:rFonts w:ascii="Times New Roman" w:hAnsi="Times New Roman" w:cs="Times New Roman"/>
          <w:sz w:val="24"/>
          <w:szCs w:val="24"/>
        </w:rPr>
      </w:pPr>
    </w:p>
    <w:p w14:paraId="155B4B04">
      <w:pPr>
        <w:rPr>
          <w:rFonts w:ascii="Times New Roman" w:hAnsi="Times New Roman" w:cs="Times New Roman"/>
          <w:sz w:val="24"/>
          <w:szCs w:val="24"/>
        </w:rPr>
      </w:pPr>
    </w:p>
    <w:p w14:paraId="370B2A58">
      <w:pPr>
        <w:rPr>
          <w:rFonts w:ascii="Times New Roman" w:hAnsi="Times New Roman" w:cs="Times New Roman"/>
          <w:sz w:val="24"/>
          <w:szCs w:val="24"/>
        </w:rPr>
      </w:pPr>
    </w:p>
    <w:p w14:paraId="44A1C39E">
      <w:pPr>
        <w:rPr>
          <w:rFonts w:ascii="Times New Roman" w:hAnsi="Times New Roman" w:cs="Times New Roman"/>
          <w:sz w:val="24"/>
          <w:szCs w:val="24"/>
        </w:rPr>
      </w:pPr>
    </w:p>
    <w:p w14:paraId="4D430DA3">
      <w:pPr>
        <w:rPr>
          <w:rFonts w:ascii="Times New Roman" w:hAnsi="Times New Roman" w:cs="Times New Roman"/>
          <w:sz w:val="24"/>
          <w:szCs w:val="24"/>
        </w:rPr>
      </w:pPr>
    </w:p>
    <w:p w14:paraId="0615085E">
      <w:pPr>
        <w:rPr>
          <w:rFonts w:ascii="Times New Roman" w:hAnsi="Times New Roman" w:cs="Times New Roman"/>
          <w:sz w:val="24"/>
          <w:szCs w:val="24"/>
        </w:rPr>
      </w:pPr>
    </w:p>
    <w:p w14:paraId="5C810156">
      <w:pPr>
        <w:rPr>
          <w:rFonts w:ascii="Times New Roman" w:hAnsi="Times New Roman" w:cs="Times New Roman"/>
          <w:sz w:val="24"/>
          <w:szCs w:val="24"/>
        </w:rPr>
      </w:pPr>
    </w:p>
    <w:p w14:paraId="439F6E71">
      <w:pPr>
        <w:rPr>
          <w:rFonts w:ascii="Times New Roman" w:hAnsi="Times New Roman" w:cs="Times New Roman"/>
          <w:sz w:val="24"/>
          <w:szCs w:val="24"/>
        </w:rPr>
      </w:pPr>
    </w:p>
    <w:p w14:paraId="4547FEBD">
      <w:pPr>
        <w:rPr>
          <w:rFonts w:ascii="Times New Roman" w:hAnsi="Times New Roman" w:cs="Times New Roman"/>
          <w:sz w:val="24"/>
          <w:szCs w:val="24"/>
        </w:rPr>
      </w:pPr>
    </w:p>
    <w:p w14:paraId="5080946E">
      <w:pPr>
        <w:spacing w:line="480" w:lineRule="auto"/>
        <w:jc w:val="both"/>
        <w:rPr>
          <w:rFonts w:ascii="Times New Roman" w:hAnsi="Times New Roman" w:cs="Times New Roman"/>
          <w:b/>
          <w:sz w:val="24"/>
          <w:szCs w:val="24"/>
        </w:rPr>
      </w:pPr>
    </w:p>
    <w:p w14:paraId="17705F9B">
      <w:pPr>
        <w:spacing w:line="480" w:lineRule="auto"/>
        <w:jc w:val="center"/>
        <w:rPr>
          <w:rFonts w:ascii="Times New Roman" w:hAnsi="Times New Roman" w:cs="Times New Roman"/>
          <w:b/>
          <w:sz w:val="24"/>
          <w:szCs w:val="24"/>
        </w:rPr>
      </w:pPr>
      <w:r>
        <w:rPr>
          <w:rFonts w:ascii="Times New Roman" w:hAnsi="Times New Roman" w:cs="Times New Roman"/>
          <w:b/>
          <w:sz w:val="24"/>
          <w:szCs w:val="24"/>
        </w:rPr>
        <w:t>ACKNOWLEDGEMENTS</w:t>
      </w:r>
    </w:p>
    <w:p w14:paraId="02BF416B">
      <w:pPr>
        <w:spacing w:line="480" w:lineRule="auto"/>
        <w:rPr>
          <w:rFonts w:ascii="Times New Roman" w:hAnsi="Times New Roman" w:cs="Times New Roman"/>
          <w:sz w:val="24"/>
          <w:szCs w:val="24"/>
        </w:rPr>
      </w:pPr>
      <w:r>
        <w:rPr>
          <w:rFonts w:ascii="Times New Roman" w:hAnsi="Times New Roman" w:cs="Times New Roman"/>
          <w:sz w:val="24"/>
          <w:szCs w:val="24"/>
        </w:rPr>
        <w:t xml:space="preserve">I will be bold to say that this academic work has not been easy. A great range of factors would have knocked me off the track, but God has been great. </w:t>
      </w:r>
      <w:r>
        <w:rPr>
          <w:rFonts w:hint="default" w:ascii="Times New Roman" w:hAnsi="Times New Roman" w:cs="Times New Roman"/>
          <w:sz w:val="24"/>
          <w:szCs w:val="24"/>
          <w:lang w:val="en-US"/>
        </w:rPr>
        <w:t>In</w:t>
      </w:r>
      <w:r>
        <w:rPr>
          <w:rFonts w:ascii="Times New Roman" w:hAnsi="Times New Roman" w:cs="Times New Roman"/>
          <w:sz w:val="24"/>
          <w:szCs w:val="24"/>
        </w:rPr>
        <w:t xml:space="preserve"> the</w:t>
      </w:r>
      <w:r>
        <w:rPr>
          <w:rFonts w:hint="default" w:ascii="Times New Roman" w:hAnsi="Times New Roman" w:cs="Times New Roman"/>
          <w:sz w:val="24"/>
          <w:szCs w:val="24"/>
          <w:lang w:val="en-US"/>
        </w:rPr>
        <w:t xml:space="preserve"> midst of</w:t>
      </w:r>
      <w:r>
        <w:rPr>
          <w:rFonts w:ascii="Times New Roman" w:hAnsi="Times New Roman" w:cs="Times New Roman"/>
          <w:sz w:val="24"/>
          <w:szCs w:val="24"/>
        </w:rPr>
        <w:t xml:space="preserve"> challenges I faced along this academic journey, I would not have triumphed without God. I thank Him immensely for making</w:t>
      </w:r>
      <w:r>
        <w:rPr>
          <w:rFonts w:hint="default" w:ascii="Times New Roman" w:hAnsi="Times New Roman" w:cs="Times New Roman"/>
          <w:sz w:val="24"/>
          <w:szCs w:val="24"/>
          <w:lang w:val="en-US"/>
        </w:rPr>
        <w:t xml:space="preserve"> this</w:t>
      </w:r>
      <w:r>
        <w:rPr>
          <w:rFonts w:ascii="Times New Roman" w:hAnsi="Times New Roman" w:cs="Times New Roman"/>
          <w:sz w:val="24"/>
          <w:szCs w:val="24"/>
        </w:rPr>
        <w:t xml:space="preserve"> project work a yet another successful academic exercise. Truly, God’s love, care, mercy and blessing have been seeing me through this five years Law programme.</w:t>
      </w:r>
    </w:p>
    <w:p w14:paraId="6212B066">
      <w:pPr>
        <w:spacing w:line="480" w:lineRule="auto"/>
        <w:rPr>
          <w:rFonts w:ascii="Times New Roman" w:hAnsi="Times New Roman" w:cs="Times New Roman"/>
          <w:sz w:val="24"/>
          <w:szCs w:val="24"/>
        </w:rPr>
      </w:pPr>
      <w:r>
        <w:rPr>
          <w:rFonts w:ascii="Times New Roman" w:hAnsi="Times New Roman" w:cs="Times New Roman"/>
          <w:sz w:val="24"/>
          <w:szCs w:val="24"/>
        </w:rPr>
        <w:t>Among the people with whom God has made me prosperous and reached me to where I feel I am today academically are the Dean of the Faculty, Prof S. U. Ortuanya, my other lecturers and non-academic staff in the Faculty of Law, Enugu State University of Science and Technology (ESUT), but to receive my greatest deal of thanks among these erudite personalities is Dr Chijioke Agbo, who has been my lecturer, my supervisor and has been acting the father role to me by giving some constructive criticisms generally and on this work in particular, which widens my academic horizon, to you, I say, I am grateful sir.</w:t>
      </w:r>
    </w:p>
    <w:p w14:paraId="5CB40D3C">
      <w:pPr>
        <w:spacing w:line="480" w:lineRule="auto"/>
        <w:rPr>
          <w:rFonts w:ascii="Times New Roman" w:hAnsi="Times New Roman" w:cs="Times New Roman"/>
          <w:sz w:val="24"/>
          <w:szCs w:val="24"/>
        </w:rPr>
      </w:pPr>
      <w:r>
        <w:rPr>
          <w:rFonts w:ascii="Times New Roman" w:hAnsi="Times New Roman" w:cs="Times New Roman"/>
          <w:sz w:val="24"/>
          <w:szCs w:val="24"/>
        </w:rPr>
        <w:t xml:space="preserve">My unalloyed gratitude goes to my family members, Chief Odo Isaac (Agbaekaemea) and Mrs. Odo Regina (Dad and Mum), </w:t>
      </w:r>
      <w:r>
        <w:rPr>
          <w:rFonts w:hint="default" w:ascii="Times New Roman" w:hAnsi="Times New Roman" w:cs="Times New Roman"/>
          <w:sz w:val="24"/>
          <w:szCs w:val="24"/>
          <w:lang w:val="en-US"/>
        </w:rPr>
        <w:t xml:space="preserve">late </w:t>
      </w:r>
      <w:r>
        <w:rPr>
          <w:rFonts w:ascii="Times New Roman" w:hAnsi="Times New Roman" w:cs="Times New Roman"/>
          <w:sz w:val="24"/>
          <w:szCs w:val="24"/>
        </w:rPr>
        <w:t>Juliana (step mum), Ossy, Oby, Abuchi, Nonye, Njide, Ndu, Dora, Caly, Loveth, Nna, Rob, Ify, Chioma, and Uka. The joy of the family consist in your existence and my progress depends on you support.</w:t>
      </w:r>
    </w:p>
    <w:p w14:paraId="2C1C0ED2">
      <w:pPr>
        <w:spacing w:line="480" w:lineRule="auto"/>
        <w:rPr>
          <w:rFonts w:ascii="Times New Roman" w:hAnsi="Times New Roman" w:cs="Times New Roman"/>
          <w:sz w:val="24"/>
          <w:szCs w:val="24"/>
        </w:rPr>
      </w:pPr>
      <w:r>
        <w:rPr>
          <w:rFonts w:ascii="Times New Roman" w:hAnsi="Times New Roman" w:cs="Times New Roman"/>
          <w:sz w:val="24"/>
          <w:szCs w:val="24"/>
        </w:rPr>
        <w:t xml:space="preserve">To my in-laws, your financial and spiritual supports are duly appreciated. </w:t>
      </w:r>
    </w:p>
    <w:p w14:paraId="4B6BA0FA">
      <w:pPr>
        <w:spacing w:line="480" w:lineRule="auto"/>
        <w:rPr>
          <w:rFonts w:ascii="Times New Roman" w:hAnsi="Times New Roman" w:cs="Times New Roman"/>
          <w:sz w:val="24"/>
          <w:szCs w:val="24"/>
        </w:rPr>
      </w:pPr>
      <w:r>
        <w:rPr>
          <w:rFonts w:ascii="Times New Roman" w:hAnsi="Times New Roman" w:cs="Times New Roman"/>
          <w:sz w:val="24"/>
          <w:szCs w:val="24"/>
        </w:rPr>
        <w:t>My classmates cannot be thanked enough- Ceejay, Zadoux, Nwaeziokwu, Greg, Kadi, John, Efidi, Paul, Moses, Agozie, Hypeman and many others, i appreciate you all.</w:t>
      </w:r>
    </w:p>
    <w:p w14:paraId="53882128">
      <w:pPr>
        <w:spacing w:line="480" w:lineRule="auto"/>
        <w:rPr>
          <w:rFonts w:ascii="Times New Roman" w:hAnsi="Times New Roman" w:cs="Times New Roman"/>
          <w:sz w:val="24"/>
          <w:szCs w:val="24"/>
        </w:rPr>
      </w:pPr>
      <w:r>
        <w:rPr>
          <w:rFonts w:ascii="Times New Roman" w:hAnsi="Times New Roman" w:cs="Times New Roman"/>
          <w:sz w:val="24"/>
          <w:szCs w:val="24"/>
        </w:rPr>
        <w:t>And finally, my friends, you all are blessings to me. I cannot thank you enough.</w:t>
      </w:r>
    </w:p>
    <w:p w14:paraId="0680AB6F">
      <w:pPr>
        <w:spacing w:line="480" w:lineRule="auto"/>
        <w:rPr>
          <w:rFonts w:ascii="Times New Roman" w:hAnsi="Times New Roman" w:cs="Times New Roman"/>
          <w:sz w:val="24"/>
          <w:szCs w:val="24"/>
        </w:rPr>
      </w:pPr>
      <w:r>
        <w:rPr>
          <w:rFonts w:ascii="Times New Roman" w:hAnsi="Times New Roman" w:cs="Times New Roman"/>
          <w:sz w:val="24"/>
          <w:szCs w:val="24"/>
        </w:rPr>
        <w:t xml:space="preserve">May you all be blessed accordingly. </w:t>
      </w:r>
    </w:p>
    <w:p w14:paraId="4A0ED472">
      <w:pPr>
        <w:spacing w:line="480" w:lineRule="auto"/>
        <w:ind w:left="5760" w:firstLine="720"/>
        <w:jc w:val="center"/>
        <w:rPr>
          <w:rFonts w:ascii="Times New Roman" w:hAnsi="Times New Roman" w:cs="Times New Roman"/>
          <w:b/>
          <w:sz w:val="24"/>
          <w:szCs w:val="24"/>
        </w:rPr>
      </w:pPr>
      <w:r>
        <w:rPr>
          <w:rFonts w:ascii="Times New Roman" w:hAnsi="Times New Roman" w:cs="Times New Roman"/>
          <w:b/>
          <w:sz w:val="24"/>
          <w:szCs w:val="24"/>
        </w:rPr>
        <w:t>Odo, Clifford C.</w:t>
      </w:r>
    </w:p>
    <w:p w14:paraId="7394C89D">
      <w:pPr>
        <w:spacing w:line="480" w:lineRule="auto"/>
        <w:ind w:left="5760" w:firstLine="720"/>
        <w:jc w:val="center"/>
        <w:rPr>
          <w:rFonts w:ascii="Times New Roman" w:hAnsi="Times New Roman" w:cs="Times New Roman"/>
          <w:b/>
          <w:sz w:val="24"/>
          <w:szCs w:val="24"/>
        </w:rPr>
      </w:pPr>
    </w:p>
    <w:p w14:paraId="0080B611">
      <w:pPr>
        <w:spacing w:line="480" w:lineRule="auto"/>
        <w:ind w:left="5760" w:firstLine="720"/>
        <w:jc w:val="center"/>
        <w:rPr>
          <w:rFonts w:ascii="Times New Roman" w:hAnsi="Times New Roman" w:cs="Times New Roman"/>
          <w:b/>
          <w:sz w:val="24"/>
          <w:szCs w:val="24"/>
        </w:rPr>
      </w:pPr>
    </w:p>
    <w:p w14:paraId="19635E7B">
      <w:pPr>
        <w:spacing w:line="480" w:lineRule="auto"/>
        <w:ind w:left="5760" w:firstLine="720"/>
        <w:jc w:val="center"/>
        <w:rPr>
          <w:rFonts w:ascii="Times New Roman" w:hAnsi="Times New Roman" w:cs="Times New Roman"/>
          <w:b/>
          <w:sz w:val="24"/>
          <w:szCs w:val="24"/>
        </w:rPr>
      </w:pPr>
    </w:p>
    <w:p w14:paraId="4B76C1D3">
      <w:pPr>
        <w:spacing w:line="480" w:lineRule="auto"/>
        <w:ind w:left="5760" w:firstLine="720"/>
        <w:jc w:val="center"/>
        <w:rPr>
          <w:rFonts w:ascii="Times New Roman" w:hAnsi="Times New Roman" w:cs="Times New Roman"/>
          <w:b/>
          <w:sz w:val="24"/>
          <w:szCs w:val="24"/>
        </w:rPr>
      </w:pPr>
    </w:p>
    <w:p w14:paraId="1E4B83CA">
      <w:pPr>
        <w:spacing w:line="480" w:lineRule="auto"/>
        <w:ind w:left="5760" w:firstLine="720"/>
        <w:jc w:val="center"/>
        <w:rPr>
          <w:rFonts w:ascii="Times New Roman" w:hAnsi="Times New Roman" w:cs="Times New Roman"/>
          <w:b/>
          <w:sz w:val="24"/>
          <w:szCs w:val="24"/>
        </w:rPr>
      </w:pPr>
    </w:p>
    <w:p w14:paraId="7BC7BFD4">
      <w:pPr>
        <w:spacing w:line="480" w:lineRule="auto"/>
        <w:ind w:left="5760" w:firstLine="720"/>
        <w:jc w:val="center"/>
        <w:rPr>
          <w:rFonts w:ascii="Times New Roman" w:hAnsi="Times New Roman" w:cs="Times New Roman"/>
          <w:b/>
          <w:sz w:val="24"/>
          <w:szCs w:val="24"/>
        </w:rPr>
      </w:pPr>
    </w:p>
    <w:p w14:paraId="3487C8F0">
      <w:pPr>
        <w:spacing w:line="480" w:lineRule="auto"/>
        <w:ind w:left="5760" w:firstLine="720"/>
        <w:jc w:val="center"/>
        <w:rPr>
          <w:rFonts w:ascii="Times New Roman" w:hAnsi="Times New Roman" w:cs="Times New Roman"/>
          <w:b/>
          <w:sz w:val="24"/>
          <w:szCs w:val="24"/>
        </w:rPr>
      </w:pPr>
    </w:p>
    <w:p w14:paraId="79502779">
      <w:pPr>
        <w:spacing w:line="480" w:lineRule="auto"/>
        <w:ind w:left="5760" w:firstLine="720"/>
        <w:jc w:val="center"/>
        <w:rPr>
          <w:rFonts w:ascii="Times New Roman" w:hAnsi="Times New Roman" w:cs="Times New Roman"/>
          <w:b/>
          <w:sz w:val="24"/>
          <w:szCs w:val="24"/>
        </w:rPr>
      </w:pPr>
    </w:p>
    <w:p w14:paraId="115A4E9C">
      <w:pPr>
        <w:spacing w:line="480" w:lineRule="auto"/>
        <w:ind w:left="5760" w:firstLine="720"/>
        <w:jc w:val="center"/>
        <w:rPr>
          <w:rFonts w:ascii="Times New Roman" w:hAnsi="Times New Roman" w:cs="Times New Roman"/>
          <w:b/>
          <w:sz w:val="24"/>
          <w:szCs w:val="24"/>
        </w:rPr>
      </w:pPr>
    </w:p>
    <w:p w14:paraId="47184102">
      <w:pPr>
        <w:spacing w:line="480" w:lineRule="auto"/>
        <w:ind w:left="5760" w:firstLine="720"/>
        <w:jc w:val="center"/>
        <w:rPr>
          <w:rFonts w:ascii="Times New Roman" w:hAnsi="Times New Roman" w:cs="Times New Roman"/>
          <w:b/>
          <w:sz w:val="24"/>
          <w:szCs w:val="24"/>
        </w:rPr>
      </w:pPr>
    </w:p>
    <w:p w14:paraId="6BE5ECE0">
      <w:pPr>
        <w:spacing w:line="480" w:lineRule="auto"/>
        <w:ind w:left="5760" w:firstLine="720"/>
        <w:jc w:val="center"/>
        <w:rPr>
          <w:rFonts w:ascii="Times New Roman" w:hAnsi="Times New Roman" w:cs="Times New Roman"/>
          <w:b/>
          <w:sz w:val="24"/>
          <w:szCs w:val="24"/>
        </w:rPr>
      </w:pPr>
    </w:p>
    <w:p w14:paraId="22116DDD">
      <w:pPr>
        <w:spacing w:line="480" w:lineRule="auto"/>
        <w:jc w:val="both"/>
        <w:rPr>
          <w:rFonts w:ascii="Times New Roman" w:hAnsi="Times New Roman" w:cs="Times New Roman"/>
          <w:b/>
          <w:sz w:val="24"/>
          <w:szCs w:val="24"/>
        </w:rPr>
      </w:pPr>
    </w:p>
    <w:p w14:paraId="4F954D2D">
      <w:pPr>
        <w:spacing w:line="480" w:lineRule="auto"/>
        <w:jc w:val="both"/>
        <w:rPr>
          <w:rFonts w:ascii="Times New Roman" w:hAnsi="Times New Roman" w:cs="Times New Roman"/>
          <w:b/>
          <w:sz w:val="24"/>
          <w:szCs w:val="24"/>
        </w:rPr>
      </w:pPr>
    </w:p>
    <w:p w14:paraId="45A7B6F2">
      <w:pPr>
        <w:spacing w:line="480" w:lineRule="auto"/>
        <w:jc w:val="both"/>
        <w:rPr>
          <w:rFonts w:ascii="Times New Roman" w:hAnsi="Times New Roman" w:cs="Times New Roman"/>
          <w:b/>
          <w:sz w:val="24"/>
          <w:szCs w:val="24"/>
        </w:rPr>
      </w:pPr>
    </w:p>
    <w:p w14:paraId="0BE3A82C">
      <w:pPr>
        <w:pStyle w:val="25"/>
        <w:jc w:val="center"/>
        <w:rPr>
          <w:rFonts w:ascii="Times New Roman" w:hAnsi="Times New Roman" w:cs="Times New Roman"/>
          <w:b/>
          <w:bCs/>
          <w:sz w:val="24"/>
          <w:szCs w:val="24"/>
        </w:rPr>
      </w:pPr>
      <w:r>
        <w:rPr>
          <w:rFonts w:ascii="Times New Roman" w:hAnsi="Times New Roman" w:cs="Times New Roman"/>
          <w:b/>
          <w:bCs/>
          <w:sz w:val="24"/>
          <w:szCs w:val="24"/>
        </w:rPr>
        <w:t>TABLE OF CONTENTS</w:t>
      </w:r>
    </w:p>
    <w:p w14:paraId="0B7A561F">
      <w:pPr>
        <w:jc w:val="center"/>
        <w:rPr>
          <w:rFonts w:ascii="Times New Roman" w:hAnsi="Times New Roman" w:cs="Times New Roman"/>
          <w:sz w:val="24"/>
          <w:szCs w:val="24"/>
        </w:rPr>
      </w:pPr>
    </w:p>
    <w:p w14:paraId="7D504BC5">
      <w:pPr>
        <w:rPr>
          <w:rFonts w:ascii="Times New Roman" w:hAnsi="Times New Roman" w:cs="Times New Roman"/>
          <w:sz w:val="24"/>
          <w:szCs w:val="24"/>
        </w:rPr>
      </w:pPr>
      <w:r>
        <w:rPr>
          <w:rFonts w:ascii="Times New Roman" w:hAnsi="Times New Roman" w:cs="Times New Roman"/>
          <w:sz w:val="24"/>
          <w:szCs w:val="24"/>
        </w:rPr>
        <w:t>Title Page-----------------------------------------------------------------------------------------------i</w:t>
      </w:r>
    </w:p>
    <w:p w14:paraId="241A51DA">
      <w:pPr>
        <w:rPr>
          <w:rFonts w:ascii="Times New Roman" w:hAnsi="Times New Roman" w:cs="Times New Roman"/>
          <w:sz w:val="24"/>
          <w:szCs w:val="24"/>
        </w:rPr>
      </w:pPr>
      <w:r>
        <w:rPr>
          <w:rFonts w:ascii="Times New Roman" w:hAnsi="Times New Roman" w:cs="Times New Roman"/>
          <w:sz w:val="24"/>
          <w:szCs w:val="24"/>
        </w:rPr>
        <w:t>Declaration--------------------------------------------------------------------------------------------ii</w:t>
      </w:r>
    </w:p>
    <w:p w14:paraId="07BD21E4">
      <w:pPr>
        <w:rPr>
          <w:rFonts w:ascii="Times New Roman" w:hAnsi="Times New Roman" w:cs="Times New Roman"/>
          <w:sz w:val="24"/>
          <w:szCs w:val="24"/>
        </w:rPr>
      </w:pPr>
      <w:r>
        <w:rPr>
          <w:rFonts w:ascii="Times New Roman" w:hAnsi="Times New Roman" w:cs="Times New Roman"/>
          <w:sz w:val="24"/>
          <w:szCs w:val="24"/>
        </w:rPr>
        <w:t>Approval Page---------------------------------------------------------------------------------------iii</w:t>
      </w:r>
    </w:p>
    <w:p w14:paraId="2BA84AC4">
      <w:pPr>
        <w:rPr>
          <w:rFonts w:ascii="Times New Roman" w:hAnsi="Times New Roman" w:cs="Times New Roman"/>
          <w:sz w:val="24"/>
          <w:szCs w:val="24"/>
        </w:rPr>
      </w:pPr>
      <w:r>
        <w:rPr>
          <w:rFonts w:ascii="Times New Roman" w:hAnsi="Times New Roman" w:cs="Times New Roman"/>
          <w:sz w:val="24"/>
          <w:szCs w:val="24"/>
        </w:rPr>
        <w:t>Dedication--------------------------------------------------------------------------------------------iv</w:t>
      </w:r>
    </w:p>
    <w:p w14:paraId="26E59B74">
      <w:pPr>
        <w:rPr>
          <w:rFonts w:ascii="Times New Roman" w:hAnsi="Times New Roman" w:cs="Times New Roman"/>
          <w:sz w:val="24"/>
          <w:szCs w:val="24"/>
        </w:rPr>
      </w:pPr>
      <w:r>
        <w:rPr>
          <w:rFonts w:ascii="Times New Roman" w:hAnsi="Times New Roman" w:cs="Times New Roman"/>
          <w:sz w:val="24"/>
          <w:szCs w:val="24"/>
        </w:rPr>
        <w:t>Acknowledgments------------------------------------------------------------------------------------v</w:t>
      </w:r>
    </w:p>
    <w:p w14:paraId="23ADC16B">
      <w:pPr>
        <w:rPr>
          <w:rFonts w:ascii="Times New Roman" w:hAnsi="Times New Roman" w:cs="Times New Roman"/>
          <w:sz w:val="24"/>
          <w:szCs w:val="24"/>
        </w:rPr>
      </w:pPr>
      <w:r>
        <w:rPr>
          <w:rFonts w:ascii="Times New Roman" w:hAnsi="Times New Roman" w:cs="Times New Roman"/>
          <w:sz w:val="24"/>
          <w:szCs w:val="24"/>
        </w:rPr>
        <w:t>Table of Contents------------------------------------------------------------------------------------vi</w:t>
      </w:r>
    </w:p>
    <w:p w14:paraId="7D999A77">
      <w:pPr>
        <w:rPr>
          <w:rFonts w:ascii="Times New Roman" w:hAnsi="Times New Roman" w:cs="Times New Roman"/>
          <w:sz w:val="24"/>
          <w:szCs w:val="24"/>
        </w:rPr>
      </w:pPr>
      <w:r>
        <w:rPr>
          <w:rFonts w:ascii="Times New Roman" w:hAnsi="Times New Roman" w:cs="Times New Roman"/>
          <w:sz w:val="24"/>
          <w:szCs w:val="24"/>
        </w:rPr>
        <w:t>Table of Cases---------------------------------------------------------------------------------------vii</w:t>
      </w:r>
    </w:p>
    <w:p w14:paraId="2BDC693E">
      <w:pPr>
        <w:rPr>
          <w:rFonts w:ascii="Times New Roman" w:hAnsi="Times New Roman" w:cs="Times New Roman"/>
          <w:sz w:val="24"/>
          <w:szCs w:val="24"/>
        </w:rPr>
      </w:pPr>
      <w:r>
        <w:rPr>
          <w:rFonts w:ascii="Times New Roman" w:hAnsi="Times New Roman" w:cs="Times New Roman"/>
          <w:sz w:val="24"/>
          <w:szCs w:val="24"/>
        </w:rPr>
        <w:t>Table of Statutes-----------------------------------------------------------------------------------viii</w:t>
      </w:r>
    </w:p>
    <w:p w14:paraId="4C76B4D8">
      <w:pPr>
        <w:rPr>
          <w:rFonts w:ascii="Times New Roman" w:hAnsi="Times New Roman" w:cs="Times New Roman"/>
          <w:sz w:val="24"/>
          <w:szCs w:val="24"/>
        </w:rPr>
      </w:pPr>
      <w:r>
        <w:rPr>
          <w:rFonts w:ascii="Times New Roman" w:hAnsi="Times New Roman" w:cs="Times New Roman"/>
          <w:sz w:val="24"/>
          <w:szCs w:val="24"/>
        </w:rPr>
        <w:t>List of Abbreviation --------------------------------------------------------------------------------xi</w:t>
      </w:r>
    </w:p>
    <w:p w14:paraId="71A65BC5">
      <w:pPr>
        <w:rPr>
          <w:rFonts w:ascii="Times New Roman" w:hAnsi="Times New Roman" w:cs="Times New Roman"/>
          <w:sz w:val="24"/>
          <w:szCs w:val="24"/>
        </w:rPr>
      </w:pPr>
      <w:r>
        <w:rPr>
          <w:rFonts w:ascii="Times New Roman" w:hAnsi="Times New Roman" w:cs="Times New Roman"/>
          <w:sz w:val="24"/>
          <w:szCs w:val="24"/>
        </w:rPr>
        <w:t>Abstract ---------------------------------------------------------------------------------------------xiv</w:t>
      </w:r>
    </w:p>
    <w:p w14:paraId="2581A50B">
      <w:pPr>
        <w:rPr>
          <w:rFonts w:ascii="Times New Roman" w:hAnsi="Times New Roman" w:cs="Times New Roman"/>
          <w:b/>
          <w:sz w:val="24"/>
          <w:szCs w:val="24"/>
        </w:rPr>
      </w:pPr>
    </w:p>
    <w:p w14:paraId="1B096FD1">
      <w:pPr>
        <w:rPr>
          <w:rFonts w:ascii="Times New Roman" w:hAnsi="Times New Roman" w:cs="Times New Roman"/>
          <w:b/>
          <w:sz w:val="24"/>
          <w:szCs w:val="24"/>
        </w:rPr>
      </w:pPr>
      <w:r>
        <w:rPr>
          <w:rFonts w:ascii="Times New Roman" w:hAnsi="Times New Roman" w:cs="Times New Roman"/>
          <w:b/>
          <w:sz w:val="24"/>
          <w:szCs w:val="24"/>
        </w:rPr>
        <w:t>CHAPTER ONE: INTRODUCTION</w:t>
      </w:r>
    </w:p>
    <w:p w14:paraId="5F27446F">
      <w:pPr>
        <w:rPr>
          <w:rFonts w:ascii="Times New Roman" w:hAnsi="Times New Roman" w:cs="Times New Roman"/>
          <w:sz w:val="24"/>
          <w:szCs w:val="24"/>
        </w:rPr>
      </w:pPr>
      <w:r>
        <w:rPr>
          <w:rFonts w:ascii="Times New Roman" w:hAnsi="Times New Roman" w:cs="Times New Roman"/>
          <w:sz w:val="24"/>
          <w:szCs w:val="24"/>
        </w:rPr>
        <w:t xml:space="preserve"> 1.1 Background to the Study-----------------------------------------------------------------------1</w:t>
      </w:r>
    </w:p>
    <w:p w14:paraId="0CCFB027">
      <w:pPr>
        <w:rPr>
          <w:rFonts w:ascii="Times New Roman" w:hAnsi="Times New Roman" w:cs="Times New Roman"/>
          <w:sz w:val="24"/>
          <w:szCs w:val="24"/>
        </w:rPr>
      </w:pPr>
      <w:r>
        <w:rPr>
          <w:rFonts w:ascii="Times New Roman" w:hAnsi="Times New Roman" w:cs="Times New Roman"/>
          <w:sz w:val="24"/>
          <w:szCs w:val="24"/>
        </w:rPr>
        <w:t>1.2 Statement of Problems--------------------------------------------------------------------------4</w:t>
      </w:r>
    </w:p>
    <w:p w14:paraId="61292577">
      <w:pPr>
        <w:rPr>
          <w:rFonts w:ascii="Times New Roman" w:hAnsi="Times New Roman" w:cs="Times New Roman"/>
          <w:sz w:val="24"/>
          <w:szCs w:val="24"/>
        </w:rPr>
      </w:pPr>
      <w:r>
        <w:rPr>
          <w:rFonts w:ascii="Times New Roman" w:hAnsi="Times New Roman" w:cs="Times New Roman"/>
          <w:sz w:val="24"/>
          <w:szCs w:val="24"/>
        </w:rPr>
        <w:t>1.3 Aim and Objectives of the Study--------------------------------------------------------------6</w:t>
      </w:r>
    </w:p>
    <w:p w14:paraId="07E26304">
      <w:pPr>
        <w:rPr>
          <w:rFonts w:ascii="Times New Roman" w:hAnsi="Times New Roman" w:cs="Times New Roman"/>
          <w:sz w:val="24"/>
          <w:szCs w:val="24"/>
        </w:rPr>
      </w:pPr>
      <w:r>
        <w:rPr>
          <w:rFonts w:ascii="Times New Roman" w:hAnsi="Times New Roman" w:cs="Times New Roman"/>
          <w:sz w:val="24"/>
          <w:szCs w:val="24"/>
        </w:rPr>
        <w:t>1.4 Scope and Delimitation of the Study----------------------------------------------------------9</w:t>
      </w:r>
    </w:p>
    <w:p w14:paraId="18346B95">
      <w:pPr>
        <w:rPr>
          <w:rFonts w:ascii="Times New Roman" w:hAnsi="Times New Roman" w:cs="Times New Roman"/>
          <w:sz w:val="24"/>
          <w:szCs w:val="24"/>
        </w:rPr>
      </w:pPr>
      <w:r>
        <w:rPr>
          <w:rFonts w:ascii="Times New Roman" w:hAnsi="Times New Roman" w:cs="Times New Roman"/>
          <w:sz w:val="24"/>
          <w:szCs w:val="24"/>
        </w:rPr>
        <w:t>1.5 Significance of the Study----------------------------------------------------------------------10</w:t>
      </w:r>
    </w:p>
    <w:p w14:paraId="135F6688">
      <w:pPr>
        <w:rPr>
          <w:rFonts w:ascii="Times New Roman" w:hAnsi="Times New Roman" w:cs="Times New Roman"/>
          <w:sz w:val="24"/>
          <w:szCs w:val="24"/>
        </w:rPr>
      </w:pPr>
      <w:r>
        <w:rPr>
          <w:rFonts w:ascii="Times New Roman" w:hAnsi="Times New Roman" w:cs="Times New Roman"/>
          <w:sz w:val="24"/>
          <w:szCs w:val="24"/>
        </w:rPr>
        <w:t>1.6 Research Methodology------------------------------------------------------------------------13</w:t>
      </w:r>
    </w:p>
    <w:p w14:paraId="571616FC">
      <w:pPr>
        <w:rPr>
          <w:rFonts w:ascii="Times New Roman" w:hAnsi="Times New Roman" w:cs="Times New Roman"/>
          <w:sz w:val="24"/>
          <w:szCs w:val="24"/>
        </w:rPr>
      </w:pPr>
      <w:r>
        <w:rPr>
          <w:rFonts w:ascii="Times New Roman" w:hAnsi="Times New Roman" w:cs="Times New Roman"/>
          <w:sz w:val="24"/>
          <w:szCs w:val="24"/>
        </w:rPr>
        <w:t>1.7 Limitation of the Study------------------------------------------------------------------------14</w:t>
      </w:r>
    </w:p>
    <w:p w14:paraId="2BCC8E35">
      <w:pPr>
        <w:rPr>
          <w:rFonts w:ascii="Times New Roman" w:hAnsi="Times New Roman" w:cs="Times New Roman"/>
          <w:sz w:val="24"/>
          <w:szCs w:val="24"/>
        </w:rPr>
      </w:pPr>
    </w:p>
    <w:p w14:paraId="4CE78D54">
      <w:pPr>
        <w:rPr>
          <w:rFonts w:ascii="Times New Roman" w:hAnsi="Times New Roman" w:cs="Times New Roman"/>
          <w:sz w:val="24"/>
          <w:szCs w:val="24"/>
        </w:rPr>
      </w:pPr>
      <w:r>
        <w:rPr>
          <w:rFonts w:ascii="Times New Roman" w:hAnsi="Times New Roman" w:cs="Times New Roman"/>
          <w:b/>
          <w:sz w:val="24"/>
          <w:szCs w:val="24"/>
        </w:rPr>
        <w:t>CHAPTER TWO: LITERATURE REVIEW</w:t>
      </w:r>
    </w:p>
    <w:p w14:paraId="1975451F">
      <w:pPr>
        <w:rPr>
          <w:rFonts w:ascii="Times New Roman" w:hAnsi="Times New Roman" w:cs="Times New Roman"/>
          <w:sz w:val="24"/>
          <w:szCs w:val="24"/>
        </w:rPr>
      </w:pPr>
      <w:r>
        <w:rPr>
          <w:rFonts w:ascii="Times New Roman" w:hAnsi="Times New Roman" w:cs="Times New Roman"/>
          <w:sz w:val="24"/>
          <w:szCs w:val="24"/>
        </w:rPr>
        <w:t>2.1 Theoretical framework ------------------------------------------------------------------------16</w:t>
      </w:r>
    </w:p>
    <w:p w14:paraId="40C361C3">
      <w:pPr>
        <w:rPr>
          <w:rFonts w:ascii="Times New Roman" w:hAnsi="Times New Roman" w:cs="Times New Roman"/>
          <w:sz w:val="24"/>
          <w:szCs w:val="24"/>
        </w:rPr>
      </w:pPr>
      <w:r>
        <w:rPr>
          <w:rFonts w:ascii="Times New Roman" w:hAnsi="Times New Roman" w:cs="Times New Roman"/>
          <w:sz w:val="24"/>
          <w:szCs w:val="24"/>
        </w:rPr>
        <w:t>2.2 Conceptual framework------------------------------------------------------------------------20</w:t>
      </w:r>
    </w:p>
    <w:p w14:paraId="0B6AA4C0">
      <w:pPr>
        <w:rPr>
          <w:rFonts w:ascii="Times New Roman" w:hAnsi="Times New Roman" w:cs="Times New Roman"/>
          <w:sz w:val="24"/>
          <w:szCs w:val="24"/>
        </w:rPr>
      </w:pPr>
      <w:r>
        <w:rPr>
          <w:rFonts w:ascii="Times New Roman" w:hAnsi="Times New Roman" w:cs="Times New Roman"/>
          <w:sz w:val="24"/>
          <w:szCs w:val="24"/>
        </w:rPr>
        <w:t>2.3 Historical Evolution of Consumer and Competitive law in Nigeria---------------------39</w:t>
      </w:r>
    </w:p>
    <w:p w14:paraId="0FD28355">
      <w:pPr>
        <w:rPr>
          <w:rFonts w:ascii="Times New Roman" w:hAnsi="Times New Roman" w:cs="Times New Roman"/>
          <w:sz w:val="24"/>
          <w:szCs w:val="24"/>
        </w:rPr>
      </w:pPr>
      <w:r>
        <w:rPr>
          <w:rFonts w:ascii="Times New Roman" w:hAnsi="Times New Roman" w:cs="Times New Roman"/>
          <w:sz w:val="24"/>
          <w:szCs w:val="24"/>
        </w:rPr>
        <w:t>2.4 Summary ----------------------------------------------------------------------------------------41</w:t>
      </w:r>
    </w:p>
    <w:p w14:paraId="5EA07BEB">
      <w:pPr>
        <w:rPr>
          <w:rFonts w:ascii="Times New Roman" w:hAnsi="Times New Roman" w:cs="Times New Roman"/>
          <w:b/>
          <w:sz w:val="24"/>
          <w:szCs w:val="24"/>
        </w:rPr>
      </w:pPr>
    </w:p>
    <w:p w14:paraId="19595E98">
      <w:pPr>
        <w:rPr>
          <w:rFonts w:ascii="Times New Roman" w:hAnsi="Times New Roman" w:cs="Times New Roman"/>
          <w:sz w:val="24"/>
          <w:szCs w:val="24"/>
        </w:rPr>
      </w:pPr>
      <w:r>
        <w:rPr>
          <w:rFonts w:ascii="Times New Roman" w:hAnsi="Times New Roman" w:cs="Times New Roman"/>
          <w:b/>
          <w:sz w:val="24"/>
          <w:szCs w:val="24"/>
        </w:rPr>
        <w:t>CHAPTER THREE: LEGAL AND INSTITUTIONAL FRAMEWORK</w:t>
      </w:r>
    </w:p>
    <w:p w14:paraId="60507D43">
      <w:pPr>
        <w:rPr>
          <w:rFonts w:ascii="Times New Roman" w:hAnsi="Times New Roman" w:cs="Times New Roman"/>
          <w:sz w:val="24"/>
          <w:szCs w:val="24"/>
        </w:rPr>
      </w:pPr>
      <w:r>
        <w:rPr>
          <w:rFonts w:ascii="Times New Roman" w:hAnsi="Times New Roman" w:cs="Times New Roman"/>
          <w:sz w:val="24"/>
          <w:szCs w:val="24"/>
        </w:rPr>
        <w:t xml:space="preserve">3.1 </w:t>
      </w:r>
      <w:r>
        <w:rPr>
          <w:rFonts w:ascii="Times New Roman" w:hAnsi="Times New Roman" w:cs="Times New Roman"/>
          <w:b/>
          <w:sz w:val="24"/>
          <w:szCs w:val="24"/>
        </w:rPr>
        <w:t>Legal Framework</w:t>
      </w:r>
      <w:r>
        <w:rPr>
          <w:rFonts w:ascii="Times New Roman" w:hAnsi="Times New Roman" w:cs="Times New Roman"/>
          <w:sz w:val="24"/>
          <w:szCs w:val="24"/>
        </w:rPr>
        <w:t>-----------------------------------------------------------------------------43</w:t>
      </w:r>
    </w:p>
    <w:p w14:paraId="4CDF16EB">
      <w:pPr>
        <w:rPr>
          <w:rFonts w:ascii="Times New Roman" w:hAnsi="Times New Roman" w:cs="Times New Roman"/>
          <w:sz w:val="24"/>
          <w:szCs w:val="24"/>
        </w:rPr>
      </w:pPr>
      <w:r>
        <w:rPr>
          <w:rFonts w:ascii="Times New Roman" w:hAnsi="Times New Roman" w:cs="Times New Roman"/>
          <w:sz w:val="24"/>
          <w:szCs w:val="24"/>
        </w:rPr>
        <w:t>3.1.1 Constitution of Federal Republic of Nigeria 1999 (as Amended) --------------------44</w:t>
      </w:r>
    </w:p>
    <w:p w14:paraId="4BC1283F">
      <w:pPr>
        <w:rPr>
          <w:rFonts w:ascii="Times New Roman" w:hAnsi="Times New Roman" w:cs="Times New Roman"/>
          <w:sz w:val="24"/>
          <w:szCs w:val="24"/>
        </w:rPr>
      </w:pPr>
      <w:r>
        <w:rPr>
          <w:rFonts w:ascii="Times New Roman" w:hAnsi="Times New Roman" w:cs="Times New Roman"/>
          <w:sz w:val="24"/>
          <w:szCs w:val="24"/>
        </w:rPr>
        <w:t>3.1.2 Federal Competitive and Consumer Protection Act, 2018-----------------------------48</w:t>
      </w:r>
    </w:p>
    <w:p w14:paraId="138AA579">
      <w:pPr>
        <w:spacing w:after="0" w:line="240" w:lineRule="auto"/>
        <w:rPr>
          <w:rFonts w:ascii="Times New Roman" w:hAnsi="Times New Roman" w:cs="Times New Roman"/>
          <w:sz w:val="24"/>
          <w:szCs w:val="24"/>
        </w:rPr>
      </w:pPr>
      <w:r>
        <w:rPr>
          <w:rFonts w:ascii="Times New Roman" w:hAnsi="Times New Roman" w:eastAsia="Times New Roman" w:cs="Times New Roman"/>
          <w:sz w:val="24"/>
          <w:szCs w:val="24"/>
        </w:rPr>
        <w:t>3.1.3 Tribunals of Inquiry Act--------------------------------------------------------------------49</w:t>
      </w:r>
    </w:p>
    <w:p w14:paraId="4B9A7F8F">
      <w:pPr>
        <w:rPr>
          <w:rFonts w:ascii="Times New Roman" w:hAnsi="Times New Roman" w:cs="Times New Roman"/>
          <w:sz w:val="24"/>
          <w:szCs w:val="24"/>
        </w:rPr>
      </w:pPr>
    </w:p>
    <w:p w14:paraId="10834729">
      <w:pPr>
        <w:rPr>
          <w:rFonts w:ascii="Times New Roman" w:hAnsi="Times New Roman" w:cs="Times New Roman"/>
          <w:b/>
          <w:sz w:val="24"/>
          <w:szCs w:val="24"/>
        </w:rPr>
      </w:pPr>
      <w:r>
        <w:rPr>
          <w:rFonts w:ascii="Times New Roman" w:hAnsi="Times New Roman" w:cs="Times New Roman"/>
          <w:sz w:val="24"/>
          <w:szCs w:val="24"/>
        </w:rPr>
        <w:t xml:space="preserve">3.2 </w:t>
      </w:r>
      <w:r>
        <w:rPr>
          <w:rFonts w:ascii="Times New Roman" w:hAnsi="Times New Roman" w:cs="Times New Roman"/>
          <w:b/>
          <w:sz w:val="24"/>
          <w:szCs w:val="24"/>
        </w:rPr>
        <w:t>Institutional Framework</w:t>
      </w:r>
      <w:r>
        <w:rPr>
          <w:rFonts w:ascii="Times New Roman" w:hAnsi="Times New Roman" w:cs="Times New Roman"/>
          <w:sz w:val="24"/>
          <w:szCs w:val="24"/>
        </w:rPr>
        <w:t>--------------------------------------------------------------------52</w:t>
      </w:r>
    </w:p>
    <w:p w14:paraId="27488E03">
      <w:pPr>
        <w:rPr>
          <w:rFonts w:ascii="Times New Roman" w:hAnsi="Times New Roman" w:cs="Times New Roman"/>
          <w:sz w:val="24"/>
          <w:szCs w:val="24"/>
        </w:rPr>
      </w:pPr>
      <w:r>
        <w:rPr>
          <w:rFonts w:ascii="Times New Roman" w:hAnsi="Times New Roman" w:cs="Times New Roman"/>
          <w:sz w:val="24"/>
          <w:szCs w:val="24"/>
        </w:rPr>
        <w:t>3.2.1 Federal Competitive and Consumer Protection Commission (FCCPC) -------------53</w:t>
      </w:r>
    </w:p>
    <w:p w14:paraId="303CD26E">
      <w:pPr>
        <w:rPr>
          <w:rFonts w:ascii="Times New Roman" w:hAnsi="Times New Roman" w:cs="Times New Roman"/>
          <w:sz w:val="24"/>
          <w:szCs w:val="24"/>
        </w:rPr>
      </w:pPr>
      <w:r>
        <w:rPr>
          <w:rFonts w:ascii="Times New Roman" w:hAnsi="Times New Roman" w:cs="Times New Roman"/>
          <w:sz w:val="24"/>
          <w:szCs w:val="24"/>
        </w:rPr>
        <w:t>3.2.2 Competition and Consumer Protection Tribunal ----------------------------------------56</w:t>
      </w:r>
    </w:p>
    <w:p w14:paraId="105663E2">
      <w:pPr>
        <w:rPr>
          <w:rFonts w:ascii="Times New Roman" w:hAnsi="Times New Roman" w:cs="Times New Roman"/>
          <w:sz w:val="24"/>
          <w:szCs w:val="24"/>
        </w:rPr>
      </w:pPr>
      <w:r>
        <w:rPr>
          <w:rFonts w:ascii="Times New Roman" w:hAnsi="Times New Roman" w:cs="Times New Roman"/>
          <w:sz w:val="24"/>
          <w:szCs w:val="24"/>
        </w:rPr>
        <w:t>3.2.3 The Courts-------------------------------------------------</w:t>
      </w:r>
      <w:r>
        <w:rPr>
          <w:rFonts w:hint="default" w:ascii="Times New Roman" w:hAnsi="Times New Roman" w:cs="Times New Roman"/>
          <w:sz w:val="24"/>
          <w:szCs w:val="24"/>
          <w:lang w:val="en-US"/>
        </w:rPr>
        <w:t>-</w:t>
      </w:r>
      <w:r>
        <w:rPr>
          <w:rFonts w:ascii="Times New Roman" w:hAnsi="Times New Roman" w:cs="Times New Roman"/>
          <w:sz w:val="24"/>
          <w:szCs w:val="24"/>
        </w:rPr>
        <w:t>----------------------------------58</w:t>
      </w:r>
    </w:p>
    <w:p w14:paraId="6B9CA410">
      <w:pPr>
        <w:rPr>
          <w:rFonts w:ascii="Times New Roman" w:hAnsi="Times New Roman" w:cs="Times New Roman"/>
          <w:b/>
          <w:sz w:val="24"/>
          <w:szCs w:val="24"/>
        </w:rPr>
      </w:pPr>
    </w:p>
    <w:p w14:paraId="092FD02C">
      <w:pPr>
        <w:rPr>
          <w:rFonts w:ascii="Times New Roman" w:hAnsi="Times New Roman" w:cs="Times New Roman"/>
          <w:b/>
          <w:sz w:val="24"/>
          <w:szCs w:val="24"/>
        </w:rPr>
      </w:pPr>
      <w:r>
        <w:rPr>
          <w:rFonts w:ascii="Times New Roman" w:hAnsi="Times New Roman" w:cs="Times New Roman"/>
          <w:b/>
          <w:sz w:val="24"/>
          <w:szCs w:val="24"/>
        </w:rPr>
        <w:t>CHAPTER FOUR: THE ESTABLISHMENT AND IMPACT OF THE TRIBUNAL</w:t>
      </w:r>
    </w:p>
    <w:p w14:paraId="59DCA9E3">
      <w:pPr>
        <w:rPr>
          <w:rFonts w:ascii="Times New Roman" w:hAnsi="Times New Roman" w:cs="Times New Roman"/>
          <w:sz w:val="24"/>
          <w:szCs w:val="24"/>
        </w:rPr>
      </w:pPr>
      <w:r>
        <w:rPr>
          <w:rFonts w:ascii="Times New Roman" w:hAnsi="Times New Roman" w:cs="Times New Roman"/>
          <w:sz w:val="24"/>
          <w:szCs w:val="24"/>
        </w:rPr>
        <w:t>4.1 Establishment of the Competition and Consumer Protection Tribunal-----------------61</w:t>
      </w:r>
    </w:p>
    <w:p w14:paraId="2009BCEA">
      <w:pPr>
        <w:rPr>
          <w:rFonts w:ascii="Times New Roman" w:hAnsi="Times New Roman" w:cs="Times New Roman"/>
          <w:sz w:val="24"/>
          <w:szCs w:val="24"/>
        </w:rPr>
      </w:pPr>
      <w:r>
        <w:rPr>
          <w:rFonts w:ascii="Times New Roman" w:hAnsi="Times New Roman" w:cs="Times New Roman"/>
          <w:sz w:val="24"/>
          <w:szCs w:val="24"/>
        </w:rPr>
        <w:t>4.1.1 Composition of the Tribunal----------------------------------------------------------------62</w:t>
      </w:r>
    </w:p>
    <w:p w14:paraId="5CCFC218">
      <w:pPr>
        <w:rPr>
          <w:rFonts w:ascii="Times New Roman" w:hAnsi="Times New Roman" w:cs="Times New Roman"/>
          <w:sz w:val="24"/>
          <w:szCs w:val="24"/>
        </w:rPr>
      </w:pPr>
      <w:r>
        <w:rPr>
          <w:rFonts w:ascii="Times New Roman" w:hAnsi="Times New Roman" w:cs="Times New Roman"/>
          <w:sz w:val="24"/>
          <w:szCs w:val="24"/>
        </w:rPr>
        <w:t>4.1.2 Qualification of members of the tribunal-------------------------------------------------62</w:t>
      </w:r>
    </w:p>
    <w:p w14:paraId="1392FB41">
      <w:pPr>
        <w:rPr>
          <w:rFonts w:ascii="Times New Roman" w:hAnsi="Times New Roman" w:cs="Times New Roman"/>
          <w:sz w:val="24"/>
          <w:szCs w:val="24"/>
        </w:rPr>
      </w:pPr>
      <w:r>
        <w:rPr>
          <w:rFonts w:ascii="Times New Roman" w:hAnsi="Times New Roman" w:cs="Times New Roman"/>
          <w:sz w:val="24"/>
          <w:szCs w:val="24"/>
        </w:rPr>
        <w:t>4.1.3 Tenure of office of members of the tribunal----------------------------------------------64</w:t>
      </w:r>
    </w:p>
    <w:p w14:paraId="6EFA21EC">
      <w:pPr>
        <w:rPr>
          <w:rFonts w:ascii="Times New Roman" w:hAnsi="Times New Roman" w:cs="Times New Roman"/>
          <w:sz w:val="24"/>
          <w:szCs w:val="24"/>
        </w:rPr>
      </w:pPr>
      <w:r>
        <w:rPr>
          <w:rFonts w:ascii="Times New Roman" w:hAnsi="Times New Roman" w:cs="Times New Roman"/>
          <w:sz w:val="24"/>
          <w:szCs w:val="24"/>
        </w:rPr>
        <w:t>4.1.4 Registrar of the Tribunal--------------------------------------------------------------------64</w:t>
      </w:r>
    </w:p>
    <w:p w14:paraId="1FB35E8D">
      <w:pPr>
        <w:rPr>
          <w:rFonts w:ascii="Times New Roman" w:hAnsi="Times New Roman" w:cs="Times New Roman"/>
          <w:b/>
          <w:sz w:val="24"/>
          <w:szCs w:val="24"/>
        </w:rPr>
      </w:pPr>
      <w:r>
        <w:rPr>
          <w:rFonts w:ascii="Times New Roman" w:hAnsi="Times New Roman" w:cs="Times New Roman"/>
          <w:sz w:val="24"/>
          <w:szCs w:val="24"/>
        </w:rPr>
        <w:t>4.1.5 Jurisdiction of the Tribunal-----------------------------------------------------------------65</w:t>
      </w:r>
    </w:p>
    <w:p w14:paraId="7814620B">
      <w:pPr>
        <w:rPr>
          <w:rFonts w:ascii="Times New Roman" w:hAnsi="Times New Roman" w:cs="Times New Roman"/>
          <w:sz w:val="24"/>
          <w:szCs w:val="24"/>
        </w:rPr>
      </w:pPr>
      <w:r>
        <w:rPr>
          <w:rFonts w:ascii="Times New Roman" w:hAnsi="Times New Roman" w:cs="Times New Roman"/>
          <w:sz w:val="24"/>
          <w:szCs w:val="24"/>
        </w:rPr>
        <w:t>4.2 Procedural Rules of the Tribunal-------------------------------------------------------------67</w:t>
      </w:r>
    </w:p>
    <w:p w14:paraId="539E3429">
      <w:pPr>
        <w:rPr>
          <w:rFonts w:ascii="Times New Roman" w:hAnsi="Times New Roman" w:cs="Times New Roman"/>
          <w:sz w:val="24"/>
          <w:szCs w:val="24"/>
        </w:rPr>
      </w:pPr>
      <w:r>
        <w:rPr>
          <w:rFonts w:ascii="Times New Roman" w:hAnsi="Times New Roman" w:cs="Times New Roman"/>
          <w:sz w:val="24"/>
          <w:szCs w:val="24"/>
        </w:rPr>
        <w:t>4.3 Powers of the Tribunal------------------------------------------------------------------------68</w:t>
      </w:r>
    </w:p>
    <w:p w14:paraId="13F930C1">
      <w:pPr>
        <w:rPr>
          <w:rFonts w:ascii="Times New Roman" w:hAnsi="Times New Roman" w:cs="Times New Roman"/>
          <w:sz w:val="24"/>
          <w:szCs w:val="24"/>
        </w:rPr>
      </w:pPr>
      <w:r>
        <w:rPr>
          <w:rFonts w:ascii="Times New Roman" w:hAnsi="Times New Roman" w:cs="Times New Roman"/>
          <w:sz w:val="24"/>
          <w:szCs w:val="24"/>
        </w:rPr>
        <w:t>4.3.1 Penalties---------------------------------------------------------------------------------------71</w:t>
      </w:r>
    </w:p>
    <w:p w14:paraId="7A2416E4">
      <w:pPr>
        <w:rPr>
          <w:rFonts w:ascii="Times New Roman" w:hAnsi="Times New Roman" w:cs="Times New Roman"/>
          <w:sz w:val="24"/>
          <w:szCs w:val="24"/>
        </w:rPr>
      </w:pPr>
      <w:r>
        <w:rPr>
          <w:rFonts w:ascii="Times New Roman" w:hAnsi="Times New Roman" w:cs="Times New Roman"/>
          <w:sz w:val="24"/>
          <w:szCs w:val="24"/>
        </w:rPr>
        <w:t>4.3.2 Sale of Asset----------------------------------------------------------------------------------72</w:t>
      </w:r>
    </w:p>
    <w:p w14:paraId="27B64558">
      <w:pPr>
        <w:rPr>
          <w:rFonts w:ascii="Times New Roman" w:hAnsi="Times New Roman" w:cs="Times New Roman"/>
          <w:sz w:val="24"/>
          <w:szCs w:val="24"/>
        </w:rPr>
      </w:pPr>
      <w:r>
        <w:rPr>
          <w:rFonts w:ascii="Times New Roman" w:hAnsi="Times New Roman" w:cs="Times New Roman"/>
          <w:sz w:val="24"/>
          <w:szCs w:val="24"/>
        </w:rPr>
        <w:t>4.4 Registration and Enforcement of the Decision of the Tribunal--------------------------73</w:t>
      </w:r>
    </w:p>
    <w:p w14:paraId="4C0688C2">
      <w:pPr>
        <w:rPr>
          <w:rFonts w:ascii="Times New Roman" w:hAnsi="Times New Roman" w:cs="Times New Roman"/>
          <w:sz w:val="24"/>
          <w:szCs w:val="24"/>
        </w:rPr>
      </w:pPr>
      <w:r>
        <w:rPr>
          <w:rFonts w:ascii="Times New Roman" w:hAnsi="Times New Roman" w:cs="Times New Roman"/>
          <w:sz w:val="24"/>
          <w:szCs w:val="24"/>
        </w:rPr>
        <w:t>4.5 Judicial Review of the Decision of the Tribunal-------------------------------------------73</w:t>
      </w:r>
    </w:p>
    <w:p w14:paraId="3DD09120">
      <w:pPr>
        <w:rPr>
          <w:rFonts w:ascii="Times New Roman" w:hAnsi="Times New Roman" w:cs="Times New Roman"/>
          <w:sz w:val="24"/>
          <w:szCs w:val="24"/>
        </w:rPr>
      </w:pPr>
      <w:r>
        <w:rPr>
          <w:rFonts w:ascii="Times New Roman" w:hAnsi="Times New Roman" w:cs="Times New Roman"/>
          <w:sz w:val="24"/>
          <w:szCs w:val="24"/>
        </w:rPr>
        <w:t>4.6 Funding of the Tribunal-----------------------------------------------------------------------74</w:t>
      </w:r>
    </w:p>
    <w:p w14:paraId="1C33D14B">
      <w:pPr>
        <w:rPr>
          <w:rFonts w:ascii="Times New Roman" w:hAnsi="Times New Roman" w:cs="Times New Roman"/>
          <w:sz w:val="24"/>
          <w:szCs w:val="24"/>
        </w:rPr>
      </w:pPr>
      <w:r>
        <w:rPr>
          <w:rFonts w:ascii="Times New Roman" w:hAnsi="Times New Roman" w:cs="Times New Roman"/>
          <w:sz w:val="24"/>
          <w:szCs w:val="24"/>
        </w:rPr>
        <w:t>4.6.1 Payment of Allowances --------------------------------------------------------------------75</w:t>
      </w:r>
    </w:p>
    <w:p w14:paraId="389F0479">
      <w:pPr>
        <w:rPr>
          <w:rFonts w:ascii="Times New Roman" w:hAnsi="Times New Roman" w:cs="Times New Roman"/>
          <w:sz w:val="24"/>
          <w:szCs w:val="24"/>
        </w:rPr>
      </w:pPr>
      <w:r>
        <w:rPr>
          <w:rFonts w:ascii="Times New Roman" w:hAnsi="Times New Roman" w:cs="Times New Roman"/>
          <w:sz w:val="24"/>
          <w:szCs w:val="24"/>
        </w:rPr>
        <w:t>4.6.1 Conditions of Employment ----------------------------------------------------------------75</w:t>
      </w:r>
    </w:p>
    <w:p w14:paraId="7413F6D2">
      <w:pPr>
        <w:ind w:left="480" w:hanging="480" w:hangingChars="200"/>
        <w:jc w:val="both"/>
        <w:rPr>
          <w:rFonts w:ascii="Times New Roman" w:hAnsi="Times New Roman" w:cs="Times New Roman"/>
          <w:sz w:val="24"/>
          <w:szCs w:val="24"/>
        </w:rPr>
      </w:pPr>
      <w:r>
        <w:rPr>
          <w:rFonts w:ascii="Times New Roman" w:hAnsi="Times New Roman" w:cs="Times New Roman"/>
          <w:sz w:val="24"/>
          <w:szCs w:val="24"/>
        </w:rPr>
        <w:t>4.7 Relationship between Federal Competitive and Consumer Protection Commission (FCCPC) and the Tribunal-------------------------------------------------------------------76</w:t>
      </w:r>
    </w:p>
    <w:p w14:paraId="2A86EC3F">
      <w:pPr>
        <w:rPr>
          <w:rFonts w:ascii="Times New Roman" w:hAnsi="Times New Roman" w:cs="Times New Roman"/>
          <w:sz w:val="24"/>
          <w:szCs w:val="24"/>
        </w:rPr>
      </w:pPr>
      <w:r>
        <w:rPr>
          <w:rFonts w:ascii="Times New Roman" w:hAnsi="Times New Roman" w:cs="Times New Roman"/>
          <w:sz w:val="24"/>
          <w:szCs w:val="24"/>
        </w:rPr>
        <w:t>4.8 The Impact of the Establishment of the Tribunal on Nigeria Consumers--------------79</w:t>
      </w:r>
    </w:p>
    <w:p w14:paraId="2F273D34">
      <w:pPr>
        <w:rPr>
          <w:rFonts w:ascii="Times New Roman" w:hAnsi="Times New Roman" w:cs="Times New Roman"/>
          <w:sz w:val="24"/>
          <w:szCs w:val="24"/>
        </w:rPr>
      </w:pPr>
    </w:p>
    <w:p w14:paraId="2BB28AE7">
      <w:pPr>
        <w:rPr>
          <w:rFonts w:ascii="Times New Roman" w:hAnsi="Times New Roman" w:cs="Times New Roman"/>
          <w:sz w:val="24"/>
          <w:szCs w:val="24"/>
        </w:rPr>
      </w:pPr>
      <w:r>
        <w:rPr>
          <w:rFonts w:ascii="Times New Roman" w:hAnsi="Times New Roman" w:cs="Times New Roman"/>
          <w:b/>
          <w:sz w:val="24"/>
          <w:szCs w:val="24"/>
        </w:rPr>
        <w:t xml:space="preserve">CHAPTER FIVE: </w:t>
      </w:r>
      <w:r>
        <w:rPr>
          <w:rFonts w:ascii="Times New Roman" w:hAnsi="Times New Roman" w:cs="Times New Roman"/>
          <w:sz w:val="24"/>
          <w:szCs w:val="24"/>
        </w:rPr>
        <w:t>SUMMARY, CONCLUSION AND RECOMMENDATION</w:t>
      </w:r>
    </w:p>
    <w:p w14:paraId="462630C8">
      <w:pPr>
        <w:rPr>
          <w:rFonts w:ascii="Times New Roman" w:hAnsi="Times New Roman" w:cs="Times New Roman"/>
          <w:sz w:val="24"/>
          <w:szCs w:val="24"/>
        </w:rPr>
      </w:pPr>
      <w:r>
        <w:rPr>
          <w:rFonts w:ascii="Times New Roman" w:hAnsi="Times New Roman" w:cs="Times New Roman"/>
          <w:sz w:val="24"/>
          <w:szCs w:val="24"/>
        </w:rPr>
        <w:t>5.1 Summary----------------------------------------------------------------------------------------80</w:t>
      </w:r>
    </w:p>
    <w:p w14:paraId="769A45A1">
      <w:pPr>
        <w:rPr>
          <w:rFonts w:ascii="Times New Roman" w:hAnsi="Times New Roman" w:cs="Times New Roman"/>
          <w:sz w:val="24"/>
          <w:szCs w:val="24"/>
        </w:rPr>
      </w:pPr>
      <w:r>
        <w:rPr>
          <w:rFonts w:ascii="Times New Roman" w:hAnsi="Times New Roman" w:cs="Times New Roman"/>
          <w:sz w:val="24"/>
          <w:szCs w:val="24"/>
        </w:rPr>
        <w:t>5.2 Conclusion--------------------------------------------------------------------------------------82</w:t>
      </w:r>
    </w:p>
    <w:p w14:paraId="31359D2B">
      <w:pPr>
        <w:rPr>
          <w:rFonts w:ascii="Times New Roman" w:hAnsi="Times New Roman" w:cs="Times New Roman"/>
          <w:sz w:val="24"/>
          <w:szCs w:val="24"/>
        </w:rPr>
      </w:pPr>
      <w:r>
        <w:rPr>
          <w:rFonts w:ascii="Times New Roman" w:hAnsi="Times New Roman" w:cs="Times New Roman"/>
          <w:sz w:val="24"/>
          <w:szCs w:val="24"/>
        </w:rPr>
        <w:t>5.3 Recommendation-------------------------------------------------------------------------------85</w:t>
      </w:r>
    </w:p>
    <w:p w14:paraId="75CCCA34">
      <w:pPr>
        <w:rPr>
          <w:rFonts w:ascii="Times New Roman" w:hAnsi="Times New Roman" w:cs="Times New Roman"/>
          <w:sz w:val="24"/>
          <w:szCs w:val="24"/>
        </w:rPr>
      </w:pPr>
      <w:r>
        <w:rPr>
          <w:rFonts w:ascii="Times New Roman" w:hAnsi="Times New Roman" w:cs="Times New Roman"/>
          <w:sz w:val="24"/>
          <w:szCs w:val="24"/>
        </w:rPr>
        <w:t>BIBLIOGRAPHY----------------------------------------------------------------------------------88</w:t>
      </w:r>
    </w:p>
    <w:p w14:paraId="65C9A6A9">
      <w:pPr>
        <w:spacing w:line="480" w:lineRule="auto"/>
        <w:jc w:val="both"/>
        <w:rPr>
          <w:rFonts w:ascii="Times New Roman" w:hAnsi="Times New Roman" w:cs="Times New Roman"/>
          <w:b/>
          <w:sz w:val="24"/>
          <w:szCs w:val="24"/>
          <w:lang w:val="en-GB"/>
        </w:rPr>
      </w:pPr>
    </w:p>
    <w:p w14:paraId="70F96F16">
      <w:pPr>
        <w:spacing w:line="480" w:lineRule="auto"/>
        <w:jc w:val="both"/>
        <w:rPr>
          <w:rFonts w:ascii="Times New Roman" w:hAnsi="Times New Roman" w:cs="Times New Roman"/>
          <w:b/>
          <w:sz w:val="24"/>
          <w:szCs w:val="24"/>
          <w:lang w:val="en-GB"/>
        </w:rPr>
      </w:pPr>
    </w:p>
    <w:p w14:paraId="0AD8F4E8">
      <w:pPr>
        <w:spacing w:line="480" w:lineRule="auto"/>
        <w:jc w:val="both"/>
        <w:rPr>
          <w:rFonts w:ascii="Times New Roman" w:hAnsi="Times New Roman" w:cs="Times New Roman"/>
          <w:b/>
          <w:sz w:val="24"/>
          <w:szCs w:val="24"/>
          <w:lang w:val="en-GB"/>
        </w:rPr>
      </w:pPr>
    </w:p>
    <w:p w14:paraId="585163DE">
      <w:pPr>
        <w:spacing w:line="480" w:lineRule="auto"/>
        <w:jc w:val="both"/>
        <w:rPr>
          <w:rFonts w:ascii="Times New Roman" w:hAnsi="Times New Roman" w:cs="Times New Roman"/>
          <w:b/>
          <w:sz w:val="24"/>
          <w:szCs w:val="24"/>
          <w:lang w:val="en-GB"/>
        </w:rPr>
      </w:pPr>
    </w:p>
    <w:p w14:paraId="47C1D225">
      <w:pPr>
        <w:spacing w:line="480" w:lineRule="auto"/>
        <w:jc w:val="both"/>
        <w:rPr>
          <w:rFonts w:ascii="Times New Roman" w:hAnsi="Times New Roman" w:cs="Times New Roman"/>
          <w:b/>
          <w:sz w:val="24"/>
          <w:szCs w:val="24"/>
          <w:lang w:val="en-GB"/>
        </w:rPr>
      </w:pPr>
    </w:p>
    <w:p w14:paraId="67260DE4">
      <w:pPr>
        <w:spacing w:line="480" w:lineRule="auto"/>
        <w:jc w:val="both"/>
        <w:rPr>
          <w:rFonts w:ascii="Times New Roman" w:hAnsi="Times New Roman" w:cs="Times New Roman"/>
          <w:b/>
          <w:sz w:val="24"/>
          <w:szCs w:val="24"/>
          <w:lang w:val="en-GB"/>
        </w:rPr>
      </w:pPr>
    </w:p>
    <w:p w14:paraId="1D0F2808">
      <w:pPr>
        <w:spacing w:line="480" w:lineRule="auto"/>
        <w:jc w:val="both"/>
        <w:rPr>
          <w:rFonts w:ascii="Times New Roman" w:hAnsi="Times New Roman" w:cs="Times New Roman"/>
          <w:b/>
          <w:sz w:val="24"/>
          <w:szCs w:val="24"/>
          <w:lang w:val="en-GB"/>
        </w:rPr>
      </w:pPr>
    </w:p>
    <w:p w14:paraId="3C3C9098">
      <w:pPr>
        <w:spacing w:line="480" w:lineRule="auto"/>
        <w:jc w:val="both"/>
        <w:rPr>
          <w:rFonts w:ascii="Times New Roman" w:hAnsi="Times New Roman" w:cs="Times New Roman"/>
          <w:b/>
          <w:sz w:val="24"/>
          <w:szCs w:val="24"/>
          <w:lang w:val="en-GB"/>
        </w:rPr>
      </w:pPr>
    </w:p>
    <w:p w14:paraId="1FAE4877">
      <w:pPr>
        <w:spacing w:line="480" w:lineRule="auto"/>
        <w:jc w:val="center"/>
        <w:rPr>
          <w:rFonts w:ascii="Times New Roman" w:hAnsi="Times New Roman" w:cs="Times New Roman"/>
          <w:b/>
          <w:sz w:val="24"/>
          <w:szCs w:val="24"/>
          <w:lang w:val="en-GB"/>
        </w:rPr>
      </w:pPr>
      <w:r>
        <w:rPr>
          <w:rFonts w:ascii="Times New Roman" w:hAnsi="Times New Roman" w:cs="Times New Roman"/>
          <w:b/>
          <w:sz w:val="24"/>
          <w:szCs w:val="24"/>
          <w:lang w:val="en-GB"/>
        </w:rPr>
        <w:t>TABLE OF CASES</w:t>
      </w:r>
    </w:p>
    <w:p w14:paraId="2AE1FD2D">
      <w:pPr>
        <w:spacing w:after="0" w:line="360" w:lineRule="auto"/>
        <w:rPr>
          <w:rFonts w:ascii="Times New Roman" w:hAnsi="Times New Roman" w:cs="Times New Roman"/>
          <w:sz w:val="24"/>
          <w:szCs w:val="24"/>
        </w:rPr>
      </w:pPr>
      <w:r>
        <w:rPr>
          <w:rFonts w:ascii="Times New Roman" w:hAnsi="Times New Roman" w:cs="Times New Roman"/>
          <w:sz w:val="24"/>
          <w:szCs w:val="24"/>
        </w:rPr>
        <w:t>Adegoke Motors v Adesanya [1983]3 NWLR (Pt 109) 250 ---------------------------------56</w:t>
      </w:r>
    </w:p>
    <w:p w14:paraId="726280D4">
      <w:pPr>
        <w:spacing w:after="0" w:line="360" w:lineRule="auto"/>
        <w:rPr>
          <w:rFonts w:ascii="Times New Roman" w:hAnsi="Times New Roman" w:cs="Times New Roman"/>
          <w:sz w:val="24"/>
          <w:szCs w:val="24"/>
          <w:lang w:val="en-GB"/>
        </w:rPr>
      </w:pPr>
      <w:r>
        <w:rPr>
          <w:rFonts w:ascii="Times New Roman" w:hAnsi="Times New Roman" w:cs="Times New Roman"/>
          <w:bCs/>
          <w:iCs/>
          <w:sz w:val="24"/>
          <w:szCs w:val="24"/>
          <w:lang w:val="en-GB"/>
        </w:rPr>
        <w:t xml:space="preserve">All India Tyre Dealers’ Federation (AITDF) v Tyre Manufacturers </w:t>
      </w:r>
      <w:r>
        <w:rPr>
          <w:rFonts w:ascii="Times New Roman" w:hAnsi="Times New Roman" w:cs="Times New Roman"/>
          <w:sz w:val="24"/>
          <w:szCs w:val="24"/>
          <w:lang w:val="en-GB"/>
        </w:rPr>
        <w:t xml:space="preserve">MRTP Case: RTPE No: 20 of 2008, a judgment delivered on 30th October, 2012 </w:t>
      </w:r>
      <w:r>
        <w:rPr>
          <w:rFonts w:ascii="Times New Roman" w:hAnsi="Times New Roman" w:cs="Times New Roman"/>
          <w:i/>
          <w:sz w:val="24"/>
          <w:szCs w:val="24"/>
          <w:lang w:val="en-GB"/>
        </w:rPr>
        <w:t xml:space="preserve">per </w:t>
      </w:r>
      <w:r>
        <w:rPr>
          <w:rFonts w:ascii="Times New Roman" w:hAnsi="Times New Roman" w:cs="Times New Roman"/>
          <w:sz w:val="24"/>
          <w:szCs w:val="24"/>
          <w:lang w:val="en-GB"/>
        </w:rPr>
        <w:t>Ashok Chawla--------22</w:t>
      </w:r>
    </w:p>
    <w:p w14:paraId="4E644315">
      <w:pPr>
        <w:spacing w:after="0" w:line="360" w:lineRule="auto"/>
        <w:rPr>
          <w:rFonts w:ascii="Times New Roman" w:hAnsi="Times New Roman" w:cs="Times New Roman"/>
          <w:bCs/>
          <w:iCs/>
          <w:sz w:val="24"/>
          <w:szCs w:val="24"/>
          <w:lang w:val="en-GB"/>
        </w:rPr>
      </w:pPr>
      <w:r>
        <w:rPr>
          <w:rFonts w:ascii="Times New Roman" w:hAnsi="Times New Roman" w:cs="Times New Roman"/>
          <w:bCs/>
          <w:iCs/>
          <w:sz w:val="24"/>
          <w:szCs w:val="24"/>
          <w:lang w:val="en-GB"/>
        </w:rPr>
        <w:t xml:space="preserve">Builders Association of India v Cement Manufacturer’s Association and Ors </w:t>
      </w:r>
    </w:p>
    <w:p w14:paraId="63D5DEC7">
      <w:pPr>
        <w:spacing w:after="0" w:line="36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 xml:space="preserve">CCI Case CCI Case No: 1 of 2009, a judgment delivered on 20th June, 2012 </w:t>
      </w:r>
    </w:p>
    <w:p w14:paraId="5BCF4A2C">
      <w:pPr>
        <w:spacing w:after="0" w:line="36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by Mr Devender Sikri---------------------------------------------------------------------22</w:t>
      </w:r>
    </w:p>
    <w:p w14:paraId="3D6BE43F">
      <w:pPr>
        <w:spacing w:after="0" w:line="360" w:lineRule="auto"/>
        <w:rPr>
          <w:rFonts w:ascii="Times New Roman" w:hAnsi="Times New Roman" w:cs="Times New Roman"/>
          <w:sz w:val="24"/>
          <w:szCs w:val="24"/>
          <w:lang w:val="en-GB"/>
        </w:rPr>
      </w:pPr>
      <w:r>
        <w:rPr>
          <w:rFonts w:ascii="Times New Roman" w:hAnsi="Times New Roman" w:cs="Times New Roman"/>
          <w:sz w:val="24"/>
          <w:szCs w:val="24"/>
        </w:rPr>
        <w:t>Central Bank of Nigeria v Aite Okojie----------------------------------------------------------80</w:t>
      </w:r>
    </w:p>
    <w:p w14:paraId="1E60F3B0">
      <w:pPr>
        <w:spacing w:after="0" w:line="360" w:lineRule="auto"/>
        <w:rPr>
          <w:rFonts w:ascii="Times New Roman" w:hAnsi="Times New Roman" w:cs="Times New Roman"/>
          <w:sz w:val="24"/>
          <w:szCs w:val="24"/>
          <w:lang w:val="en-GB"/>
        </w:rPr>
      </w:pPr>
      <w:r>
        <w:rPr>
          <w:rFonts w:ascii="Times New Roman" w:hAnsi="Times New Roman" w:cs="Times New Roman"/>
          <w:iCs/>
          <w:sz w:val="24"/>
          <w:szCs w:val="24"/>
          <w:lang w:val="en-GB"/>
        </w:rPr>
        <w:t xml:space="preserve">Darcy v Allin </w:t>
      </w:r>
      <w:r>
        <w:rPr>
          <w:rFonts w:ascii="Times New Roman" w:hAnsi="Times New Roman" w:cs="Times New Roman"/>
          <w:sz w:val="24"/>
          <w:szCs w:val="24"/>
          <w:lang w:val="en-GB"/>
        </w:rPr>
        <w:t xml:space="preserve"> [1602] 11 Co Rep 84-------------------------------------------------------------20</w:t>
      </w:r>
    </w:p>
    <w:p w14:paraId="41676010">
      <w:pPr>
        <w:spacing w:after="0" w:line="360" w:lineRule="auto"/>
        <w:rPr>
          <w:rFonts w:ascii="Times New Roman" w:hAnsi="Times New Roman" w:cs="Times New Roman"/>
          <w:bCs/>
          <w:sz w:val="24"/>
          <w:szCs w:val="24"/>
          <w:lang w:val="en-GB"/>
        </w:rPr>
      </w:pPr>
      <w:r>
        <w:rPr>
          <w:rFonts w:ascii="Times New Roman" w:hAnsi="Times New Roman" w:cs="Times New Roman"/>
          <w:sz w:val="24"/>
          <w:szCs w:val="24"/>
          <w:lang w:val="en-GB"/>
        </w:rPr>
        <w:t xml:space="preserve">Donoghue v Stevenson </w:t>
      </w:r>
      <w:r>
        <w:rPr>
          <w:rFonts w:ascii="Times New Roman" w:hAnsi="Times New Roman" w:cs="Times New Roman"/>
          <w:bCs/>
          <w:sz w:val="24"/>
          <w:szCs w:val="24"/>
          <w:lang w:val="en-GB"/>
        </w:rPr>
        <w:t>[1932] 562---------------------------------------------------------------5</w:t>
      </w:r>
    </w:p>
    <w:p w14:paraId="6CFA9C85">
      <w:pPr>
        <w:spacing w:after="0" w:line="360" w:lineRule="auto"/>
        <w:rPr>
          <w:rFonts w:ascii="Times New Roman" w:hAnsi="Times New Roman" w:cs="Times New Roman"/>
          <w:sz w:val="24"/>
          <w:szCs w:val="24"/>
          <w:lang w:val="en-GB"/>
        </w:rPr>
      </w:pPr>
      <w:r>
        <w:rPr>
          <w:rFonts w:ascii="Times New Roman" w:hAnsi="Times New Roman" w:cs="Times New Roman"/>
          <w:iCs/>
          <w:sz w:val="24"/>
          <w:szCs w:val="24"/>
          <w:lang w:val="en-GB"/>
        </w:rPr>
        <w:t xml:space="preserve">Dyer </w:t>
      </w:r>
      <w:r>
        <w:rPr>
          <w:rFonts w:ascii="Times New Roman" w:hAnsi="Times New Roman" w:cs="Times New Roman"/>
          <w:sz w:val="24"/>
          <w:szCs w:val="24"/>
          <w:lang w:val="en-GB"/>
        </w:rPr>
        <w:t>[1414] Hen 55--------------------------------------------------------------------------------20</w:t>
      </w:r>
    </w:p>
    <w:p w14:paraId="3EBFE730">
      <w:pPr>
        <w:spacing w:after="0" w:line="360" w:lineRule="auto"/>
        <w:rPr>
          <w:rFonts w:ascii="Times New Roman" w:hAnsi="Times New Roman" w:cs="Times New Roman"/>
          <w:sz w:val="24"/>
          <w:szCs w:val="24"/>
        </w:rPr>
      </w:pPr>
      <w:r>
        <w:rPr>
          <w:rFonts w:ascii="Times New Roman" w:hAnsi="Times New Roman" w:cs="Times New Roman"/>
          <w:sz w:val="24"/>
          <w:szCs w:val="24"/>
        </w:rPr>
        <w:t>Garba v. Unimaid [1986] 1NWLR 550----------------------------------------------------------42</w:t>
      </w:r>
    </w:p>
    <w:p w14:paraId="63AC00CA">
      <w:pPr>
        <w:spacing w:after="0" w:line="360" w:lineRule="auto"/>
        <w:rPr>
          <w:rFonts w:ascii="Times New Roman" w:hAnsi="Times New Roman" w:cs="Times New Roman"/>
          <w:sz w:val="24"/>
          <w:szCs w:val="24"/>
        </w:rPr>
      </w:pPr>
      <w:r>
        <w:rPr>
          <w:rFonts w:ascii="Times New Roman" w:hAnsi="Times New Roman" w:cs="Times New Roman"/>
          <w:sz w:val="24"/>
          <w:szCs w:val="24"/>
        </w:rPr>
        <w:t>LPDC v. Fawehinmi [1985</w:t>
      </w:r>
      <w:r>
        <w:rPr>
          <w:rFonts w:ascii="Times New Roman" w:hAnsi="Times New Roman" w:cs="Times New Roman"/>
          <w:sz w:val="24"/>
          <w:szCs w:val="24"/>
        </w:rPr>
        <w:softHyphen/>
      </w:r>
      <w:r>
        <w:rPr>
          <w:rFonts w:ascii="Times New Roman" w:hAnsi="Times New Roman" w:cs="Times New Roman"/>
          <w:sz w:val="24"/>
          <w:szCs w:val="24"/>
        </w:rPr>
        <w:t>] 2 NWLR (Pt. 7) 300----------------------------------------------47</w:t>
      </w:r>
    </w:p>
    <w:p w14:paraId="5AE9CE07">
      <w:pPr>
        <w:spacing w:after="0" w:line="360" w:lineRule="auto"/>
        <w:rPr>
          <w:rFonts w:ascii="Times New Roman" w:hAnsi="Times New Roman" w:cs="Times New Roman"/>
          <w:sz w:val="24"/>
          <w:szCs w:val="24"/>
        </w:rPr>
      </w:pPr>
      <w:r>
        <w:rPr>
          <w:rFonts w:ascii="Times New Roman" w:hAnsi="Times New Roman" w:cs="Times New Roman"/>
          <w:sz w:val="24"/>
          <w:szCs w:val="24"/>
        </w:rPr>
        <w:t>M PPP v INEC.[2015] 18 NWLR (Pt. 1491) 251----------------------------------------------48</w:t>
      </w:r>
    </w:p>
    <w:p w14:paraId="6B0E9DBF">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Madukolu v Nkemdilim [1962]2 SCNLR 34---------------------------------------------------62</w:t>
      </w:r>
    </w:p>
    <w:p w14:paraId="581070C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Mufutau Bamidele Akande v Olugbemiro Jegede (2022) JELR 109969 (SC) 108--------63</w:t>
      </w:r>
    </w:p>
    <w:p w14:paraId="24232374">
      <w:pPr>
        <w:spacing w:after="0" w:line="360" w:lineRule="auto"/>
        <w:rPr>
          <w:rFonts w:ascii="Times New Roman" w:hAnsi="Times New Roman" w:cs="Times New Roman"/>
          <w:bCs/>
          <w:iCs/>
          <w:sz w:val="24"/>
          <w:szCs w:val="24"/>
          <w:lang w:val="en-GB"/>
        </w:rPr>
      </w:pPr>
      <w:r>
        <w:rPr>
          <w:rFonts w:ascii="Times New Roman" w:hAnsi="Times New Roman" w:cs="Times New Roman"/>
          <w:bCs/>
          <w:iCs/>
          <w:sz w:val="24"/>
          <w:szCs w:val="24"/>
          <w:lang w:val="en-GB"/>
        </w:rPr>
        <w:t xml:space="preserve">Multiplex Association of India Federation House v United Producers Distributors &amp; Ors </w:t>
      </w:r>
      <w:r>
        <w:rPr>
          <w:rFonts w:ascii="Times New Roman" w:hAnsi="Times New Roman" w:cs="Times New Roman"/>
          <w:sz w:val="24"/>
          <w:szCs w:val="24"/>
          <w:lang w:val="en-GB"/>
        </w:rPr>
        <w:t>No: 29/2010------------------------------------------------------------------------------------------22</w:t>
      </w:r>
    </w:p>
    <w:p w14:paraId="12476463">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Nigerian Bottling Co Ltd v Ngonadi (1985) 5 SC 313------------------------------------------5</w:t>
      </w:r>
    </w:p>
    <w:p w14:paraId="166E776D">
      <w:pPr>
        <w:spacing w:after="0" w:line="360" w:lineRule="auto"/>
        <w:rPr>
          <w:rFonts w:ascii="Times New Roman" w:hAnsi="Times New Roman" w:cs="Times New Roman"/>
          <w:sz w:val="24"/>
          <w:szCs w:val="24"/>
        </w:rPr>
      </w:pPr>
      <w:r>
        <w:rPr>
          <w:rFonts w:ascii="Times New Roman" w:hAnsi="Times New Roman" w:cs="Times New Roman"/>
          <w:iCs/>
          <w:sz w:val="24"/>
          <w:szCs w:val="24"/>
        </w:rPr>
        <w:t xml:space="preserve">Nigerian Bottling Plc v Audu </w:t>
      </w:r>
      <w:r>
        <w:rPr>
          <w:rFonts w:ascii="Times New Roman" w:hAnsi="Times New Roman" w:cs="Times New Roman"/>
          <w:sz w:val="24"/>
          <w:szCs w:val="24"/>
        </w:rPr>
        <w:t>(2009) LPELR-8863 ------- -------------------------------------4</w:t>
      </w:r>
    </w:p>
    <w:p w14:paraId="144C921C">
      <w:pPr>
        <w:spacing w:after="0" w:line="360" w:lineRule="auto"/>
        <w:rPr>
          <w:rFonts w:ascii="Times New Roman" w:hAnsi="Times New Roman" w:cs="Times New Roman"/>
          <w:sz w:val="24"/>
          <w:szCs w:val="24"/>
          <w:lang w:val="en-GB"/>
        </w:rPr>
      </w:pPr>
      <w:r>
        <w:rPr>
          <w:rFonts w:ascii="Times New Roman" w:hAnsi="Times New Roman" w:cs="Times New Roman"/>
          <w:iCs/>
          <w:sz w:val="24"/>
          <w:szCs w:val="24"/>
          <w:lang w:val="en-GB"/>
        </w:rPr>
        <w:t xml:space="preserve">Nordenfelt v Maxim, Nordenfelt Gun Co. </w:t>
      </w:r>
      <w:r>
        <w:rPr>
          <w:rFonts w:ascii="Times New Roman" w:hAnsi="Times New Roman" w:cs="Times New Roman"/>
          <w:sz w:val="24"/>
          <w:szCs w:val="24"/>
          <w:lang w:val="en-GB"/>
        </w:rPr>
        <w:t>[1894] AC 535------------------------------------20</w:t>
      </w:r>
    </w:p>
    <w:p w14:paraId="4083F445">
      <w:pPr>
        <w:spacing w:after="0" w:line="360" w:lineRule="auto"/>
        <w:rPr>
          <w:rFonts w:ascii="Times New Roman" w:hAnsi="Times New Roman" w:cs="Times New Roman"/>
          <w:sz w:val="24"/>
          <w:szCs w:val="24"/>
        </w:rPr>
      </w:pPr>
      <w:r>
        <w:rPr>
          <w:rFonts w:ascii="Times New Roman" w:hAnsi="Times New Roman" w:cs="Times New Roman"/>
          <w:sz w:val="24"/>
          <w:szCs w:val="24"/>
        </w:rPr>
        <w:t>Okwejimonor v G. Gbakeji and NBC [2008] 5 NWLR (Pt 1079) 172-----------------------5</w:t>
      </w:r>
    </w:p>
    <w:p w14:paraId="13A5A589">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Olaniyan v. University of Lagos [1985] 2 NWLR (Pt. 9) 599-------------------------------47</w:t>
      </w:r>
    </w:p>
    <w:p w14:paraId="74070FD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Patrick Chukwuma v Peace Mass Transit Limited (Unreported) Suit No: E/514/202, a judgement delivered on (8th April, 2022) </w:t>
      </w:r>
      <w:r>
        <w:rPr>
          <w:rFonts w:ascii="Times New Roman" w:hAnsi="Times New Roman" w:cs="Times New Roman"/>
          <w:i/>
          <w:sz w:val="24"/>
          <w:szCs w:val="24"/>
          <w:lang w:val="en-GB"/>
        </w:rPr>
        <w:t xml:space="preserve">per </w:t>
      </w:r>
      <w:r>
        <w:rPr>
          <w:rFonts w:ascii="Times New Roman" w:hAnsi="Times New Roman" w:cs="Times New Roman"/>
          <w:sz w:val="24"/>
          <w:szCs w:val="24"/>
          <w:lang w:val="en-GB"/>
        </w:rPr>
        <w:t>Hon Justice C.O. Ajah----------------------11</w:t>
      </w:r>
    </w:p>
    <w:p w14:paraId="34583B80">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Premiere Academy Limited (Premiere) v Federal Competition and Consumer Protection Commission (Commission) and 2 Ors (unreported) Suit No: FHC/ABJ/CS/26/2022, a judgment delivered on 27th June, 2023</w:t>
      </w:r>
      <w:r>
        <w:rPr>
          <w:rFonts w:hint="default" w:ascii="Times New Roman" w:hAnsi="Times New Roman" w:cs="Times New Roman"/>
          <w:sz w:val="24"/>
          <w:szCs w:val="24"/>
          <w:lang w:val="en-US"/>
        </w:rPr>
        <w:t xml:space="preserve"> </w:t>
      </w:r>
      <w:r>
        <w:rPr>
          <w:rFonts w:hint="default" w:ascii="Times New Roman" w:hAnsi="Times New Roman" w:cs="Times New Roman"/>
          <w:i/>
          <w:iCs/>
          <w:sz w:val="24"/>
          <w:szCs w:val="24"/>
          <w:lang w:val="en-US"/>
        </w:rPr>
        <w:t xml:space="preserve">per </w:t>
      </w:r>
      <w:r>
        <w:rPr>
          <w:rFonts w:hint="default" w:ascii="Times New Roman" w:hAnsi="Times New Roman" w:cs="Times New Roman"/>
          <w:i w:val="0"/>
          <w:iCs w:val="0"/>
          <w:sz w:val="24"/>
          <w:szCs w:val="24"/>
          <w:lang w:val="en-US"/>
        </w:rPr>
        <w:t>Hon.</w:t>
      </w:r>
      <w:r>
        <w:rPr>
          <w:rFonts w:hint="default" w:ascii="Times New Roman" w:hAnsi="Times New Roman" w:cs="Times New Roman"/>
          <w:sz w:val="24"/>
          <w:szCs w:val="24"/>
          <w:lang w:val="en-US"/>
        </w:rPr>
        <w:t xml:space="preserve"> Justice N. E. Maha of FHC Abuja --</w:t>
      </w:r>
      <w:r>
        <w:rPr>
          <w:rFonts w:ascii="Times New Roman" w:hAnsi="Times New Roman" w:cs="Times New Roman"/>
          <w:sz w:val="24"/>
          <w:szCs w:val="24"/>
          <w:lang w:val="en-GB"/>
        </w:rPr>
        <w:t>--51</w:t>
      </w:r>
    </w:p>
    <w:p w14:paraId="6CDED856">
      <w:pPr>
        <w:spacing w:after="0" w:line="360" w:lineRule="auto"/>
        <w:rPr>
          <w:rFonts w:ascii="Times New Roman" w:hAnsi="Times New Roman" w:cs="Times New Roman"/>
          <w:sz w:val="24"/>
          <w:szCs w:val="24"/>
        </w:rPr>
      </w:pPr>
      <w:r>
        <w:rPr>
          <w:rFonts w:ascii="Times New Roman" w:hAnsi="Times New Roman" w:cs="Times New Roman"/>
          <w:sz w:val="24"/>
          <w:szCs w:val="24"/>
        </w:rPr>
        <w:t>Ransome Kuti &amp; Ors v A.G. Federation &amp; Ors [1985] 2 NWLR (pt.6) 211---------------41</w:t>
      </w:r>
    </w:p>
    <w:p w14:paraId="65D3C1DB">
      <w:pPr>
        <w:spacing w:after="0" w:line="360" w:lineRule="auto"/>
        <w:rPr>
          <w:rFonts w:ascii="Times New Roman" w:hAnsi="Times New Roman" w:cs="Times New Roman"/>
          <w:sz w:val="24"/>
          <w:szCs w:val="24"/>
          <w:lang w:val="en-GB"/>
        </w:rPr>
      </w:pPr>
      <w:r>
        <w:rPr>
          <w:rFonts w:ascii="Times New Roman" w:hAnsi="Times New Roman" w:cs="Times New Roman"/>
          <w:iCs/>
          <w:sz w:val="24"/>
          <w:szCs w:val="24"/>
          <w:lang w:val="en-GB"/>
        </w:rPr>
        <w:t xml:space="preserve">Rogers v Parrey </w:t>
      </w:r>
      <w:r>
        <w:rPr>
          <w:rFonts w:ascii="Times New Roman" w:hAnsi="Times New Roman" w:cs="Times New Roman"/>
          <w:sz w:val="24"/>
          <w:szCs w:val="24"/>
          <w:lang w:val="en-GB"/>
        </w:rPr>
        <w:t>[1613] 80 ER 1012 -------------------------------------------------------------20</w:t>
      </w:r>
    </w:p>
    <w:p w14:paraId="4BBBC3B1">
      <w:pPr>
        <w:spacing w:after="0" w:line="360" w:lineRule="auto"/>
        <w:rPr>
          <w:rFonts w:ascii="Times New Roman" w:hAnsi="Times New Roman" w:cs="Times New Roman"/>
          <w:sz w:val="24"/>
          <w:szCs w:val="24"/>
        </w:rPr>
      </w:pPr>
      <w:r>
        <w:rPr>
          <w:rFonts w:ascii="Times New Roman" w:hAnsi="Times New Roman" w:cs="Times New Roman"/>
          <w:sz w:val="24"/>
          <w:szCs w:val="24"/>
        </w:rPr>
        <w:t>Saraki v FRN [2016] 2 NWLR (Pt. 1495) 258-------------------------------------------------48</w:t>
      </w:r>
    </w:p>
    <w:p w14:paraId="3781A865">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SBM Services (Nigeria) Ltd. &amp; Ors v Okon &amp; Ors [2003] LPELR-7292-----------------61</w:t>
      </w:r>
    </w:p>
    <w:p w14:paraId="0D38980E">
      <w:pPr>
        <w:spacing w:after="0" w:line="360" w:lineRule="auto"/>
        <w:rPr>
          <w:rFonts w:ascii="Times New Roman" w:hAnsi="Times New Roman" w:cs="Times New Roman"/>
          <w:iCs/>
          <w:sz w:val="24"/>
          <w:szCs w:val="24"/>
          <w:lang w:val="en-GB"/>
        </w:rPr>
      </w:pPr>
      <w:r>
        <w:rPr>
          <w:rFonts w:ascii="Times New Roman" w:hAnsi="Times New Roman" w:cs="Times New Roman"/>
          <w:iCs/>
          <w:sz w:val="24"/>
          <w:szCs w:val="24"/>
          <w:lang w:val="en-GB"/>
        </w:rPr>
        <w:t>Standard Oil Co of New Jersey v the United States [1910]221 U.S. 1----------------------21</w:t>
      </w:r>
    </w:p>
    <w:p w14:paraId="10E6D843">
      <w:pPr>
        <w:spacing w:after="0" w:line="360" w:lineRule="auto"/>
        <w:rPr>
          <w:rFonts w:ascii="Times New Roman" w:hAnsi="Times New Roman" w:cs="Times New Roman"/>
          <w:iCs/>
          <w:sz w:val="24"/>
          <w:szCs w:val="24"/>
          <w:lang w:val="en-GB"/>
        </w:rPr>
      </w:pPr>
      <w:r>
        <w:rPr>
          <w:rFonts w:ascii="Times New Roman" w:hAnsi="Times New Roman" w:cs="Times New Roman"/>
          <w:iCs/>
          <w:sz w:val="24"/>
          <w:szCs w:val="24"/>
          <w:lang w:val="en-GB"/>
        </w:rPr>
        <w:t>Standard Oil Co v FTC [1951]340 US 231, 249-----------------------------------------------21</w:t>
      </w:r>
    </w:p>
    <w:p w14:paraId="06B6ABC4">
      <w:pPr>
        <w:spacing w:after="0" w:line="360" w:lineRule="auto"/>
        <w:rPr>
          <w:rFonts w:ascii="Times New Roman" w:hAnsi="Times New Roman" w:cs="Times New Roman"/>
          <w:bCs/>
          <w:sz w:val="24"/>
          <w:szCs w:val="24"/>
          <w:lang w:val="en-GB"/>
        </w:rPr>
      </w:pPr>
      <w:r>
        <w:rPr>
          <w:rFonts w:ascii="Times New Roman" w:hAnsi="Times New Roman" w:cs="Times New Roman"/>
          <w:bCs/>
          <w:sz w:val="24"/>
          <w:szCs w:val="24"/>
          <w:lang w:val="en-GB"/>
        </w:rPr>
        <w:t>Ukut and Ors v APC and Ors [2019] LPELR-47203------------------------------------------62</w:t>
      </w:r>
    </w:p>
    <w:p w14:paraId="2135D3F5">
      <w:pPr>
        <w:spacing w:after="0" w:line="360" w:lineRule="auto"/>
        <w:rPr>
          <w:rFonts w:ascii="Times New Roman" w:hAnsi="Times New Roman" w:cs="Times New Roman"/>
          <w:bCs/>
          <w:sz w:val="24"/>
          <w:szCs w:val="24"/>
          <w:lang w:val="en-GB"/>
        </w:rPr>
      </w:pPr>
      <w:r>
        <w:rPr>
          <w:rFonts w:ascii="Times New Roman" w:hAnsi="Times New Roman" w:cs="Times New Roman"/>
          <w:bCs/>
          <w:sz w:val="24"/>
          <w:szCs w:val="24"/>
        </w:rPr>
        <w:t>Zuru v Fakai</w:t>
      </w:r>
      <w:r>
        <w:rPr>
          <w:rFonts w:ascii="Times New Roman" w:hAnsi="Times New Roman" w:cs="Times New Roman"/>
          <w:b/>
          <w:bCs/>
          <w:sz w:val="24"/>
          <w:szCs w:val="24"/>
        </w:rPr>
        <w:t xml:space="preserve"> </w:t>
      </w:r>
      <w:r>
        <w:rPr>
          <w:rFonts w:ascii="Times New Roman" w:hAnsi="Times New Roman" w:cs="Times New Roman"/>
          <w:bCs/>
          <w:sz w:val="24"/>
          <w:szCs w:val="24"/>
          <w:lang w:val="en-GB"/>
        </w:rPr>
        <w:t>[2021] LPELR-55015--------------------------------------------------------------62</w:t>
      </w:r>
    </w:p>
    <w:p w14:paraId="62AFAA77">
      <w:pPr>
        <w:spacing w:line="480" w:lineRule="auto"/>
        <w:rPr>
          <w:rFonts w:ascii="Times New Roman" w:hAnsi="Times New Roman" w:cs="Times New Roman"/>
          <w:sz w:val="24"/>
          <w:szCs w:val="24"/>
          <w:lang w:val="en-GB"/>
        </w:rPr>
      </w:pPr>
    </w:p>
    <w:p w14:paraId="44B701D7">
      <w:pPr>
        <w:spacing w:line="480" w:lineRule="auto"/>
        <w:rPr>
          <w:rFonts w:ascii="Times New Roman" w:hAnsi="Times New Roman" w:cs="Times New Roman"/>
          <w:sz w:val="24"/>
          <w:szCs w:val="24"/>
          <w:lang w:val="en-GB"/>
        </w:rPr>
      </w:pPr>
    </w:p>
    <w:p w14:paraId="70A68B3A">
      <w:pPr>
        <w:spacing w:line="480" w:lineRule="auto"/>
        <w:rPr>
          <w:rFonts w:ascii="Times New Roman" w:hAnsi="Times New Roman" w:cs="Times New Roman"/>
          <w:sz w:val="24"/>
          <w:szCs w:val="24"/>
          <w:lang w:val="en-GB"/>
        </w:rPr>
      </w:pPr>
    </w:p>
    <w:p w14:paraId="0563CA7A">
      <w:pPr>
        <w:spacing w:line="480" w:lineRule="auto"/>
        <w:rPr>
          <w:rFonts w:ascii="Times New Roman" w:hAnsi="Times New Roman" w:cs="Times New Roman"/>
          <w:sz w:val="24"/>
          <w:szCs w:val="24"/>
          <w:lang w:val="en-GB"/>
        </w:rPr>
      </w:pPr>
    </w:p>
    <w:p w14:paraId="2D90FF2A">
      <w:pPr>
        <w:spacing w:line="480" w:lineRule="auto"/>
        <w:rPr>
          <w:rFonts w:ascii="Times New Roman" w:hAnsi="Times New Roman" w:cs="Times New Roman"/>
          <w:sz w:val="24"/>
          <w:szCs w:val="24"/>
          <w:lang w:val="en-GB"/>
        </w:rPr>
      </w:pPr>
    </w:p>
    <w:p w14:paraId="2ADA4148">
      <w:pPr>
        <w:spacing w:line="480" w:lineRule="auto"/>
        <w:rPr>
          <w:rFonts w:ascii="Times New Roman" w:hAnsi="Times New Roman" w:cs="Times New Roman"/>
          <w:sz w:val="24"/>
          <w:szCs w:val="24"/>
          <w:lang w:val="en-GB"/>
        </w:rPr>
      </w:pPr>
    </w:p>
    <w:p w14:paraId="2909A458">
      <w:pPr>
        <w:spacing w:line="480" w:lineRule="auto"/>
        <w:rPr>
          <w:rFonts w:ascii="Times New Roman" w:hAnsi="Times New Roman" w:cs="Times New Roman"/>
          <w:sz w:val="24"/>
          <w:szCs w:val="24"/>
          <w:lang w:val="en-GB"/>
        </w:rPr>
      </w:pPr>
    </w:p>
    <w:p w14:paraId="230716A9">
      <w:pPr>
        <w:spacing w:line="480" w:lineRule="auto"/>
        <w:rPr>
          <w:rFonts w:ascii="Times New Roman" w:hAnsi="Times New Roman" w:cs="Times New Roman"/>
          <w:sz w:val="24"/>
          <w:szCs w:val="24"/>
          <w:lang w:val="en-GB"/>
        </w:rPr>
      </w:pPr>
    </w:p>
    <w:p w14:paraId="1EBAEB76">
      <w:pPr>
        <w:spacing w:line="480" w:lineRule="auto"/>
        <w:rPr>
          <w:rFonts w:ascii="Times New Roman" w:hAnsi="Times New Roman" w:cs="Times New Roman"/>
          <w:sz w:val="24"/>
          <w:szCs w:val="24"/>
          <w:lang w:val="en-GB"/>
        </w:rPr>
      </w:pPr>
    </w:p>
    <w:p w14:paraId="42A06D55">
      <w:pPr>
        <w:spacing w:line="480" w:lineRule="auto"/>
        <w:rPr>
          <w:rFonts w:ascii="Times New Roman" w:hAnsi="Times New Roman" w:cs="Times New Roman"/>
          <w:sz w:val="24"/>
          <w:szCs w:val="24"/>
          <w:lang w:val="en-GB"/>
        </w:rPr>
      </w:pPr>
    </w:p>
    <w:p w14:paraId="49852635">
      <w:pPr>
        <w:spacing w:line="480" w:lineRule="auto"/>
        <w:rPr>
          <w:rFonts w:ascii="Times New Roman" w:hAnsi="Times New Roman" w:cs="Times New Roman"/>
          <w:sz w:val="24"/>
          <w:szCs w:val="24"/>
          <w:lang w:val="en-GB"/>
        </w:rPr>
      </w:pPr>
    </w:p>
    <w:p w14:paraId="693BBA7F">
      <w:pPr>
        <w:spacing w:line="480" w:lineRule="auto"/>
        <w:rPr>
          <w:rFonts w:ascii="Times New Roman" w:hAnsi="Times New Roman" w:cs="Times New Roman"/>
          <w:sz w:val="24"/>
          <w:szCs w:val="24"/>
          <w:lang w:val="en-GB"/>
        </w:rPr>
      </w:pPr>
    </w:p>
    <w:p w14:paraId="51A13A89">
      <w:pPr>
        <w:spacing w:line="480" w:lineRule="auto"/>
        <w:rPr>
          <w:rFonts w:ascii="Times New Roman" w:hAnsi="Times New Roman" w:cs="Times New Roman"/>
          <w:sz w:val="24"/>
          <w:szCs w:val="24"/>
          <w:lang w:val="en-GB"/>
        </w:rPr>
      </w:pPr>
    </w:p>
    <w:p w14:paraId="0BD9437B">
      <w:pPr>
        <w:spacing w:line="480" w:lineRule="auto"/>
        <w:rPr>
          <w:rFonts w:ascii="Times New Roman" w:hAnsi="Times New Roman" w:cs="Times New Roman"/>
          <w:sz w:val="24"/>
          <w:szCs w:val="24"/>
        </w:rPr>
      </w:pPr>
    </w:p>
    <w:p w14:paraId="2266BF61">
      <w:pPr>
        <w:jc w:val="center"/>
        <w:rPr>
          <w:rFonts w:ascii="Times New Roman" w:hAnsi="Times New Roman" w:cs="Times New Roman"/>
          <w:b/>
          <w:sz w:val="24"/>
          <w:szCs w:val="24"/>
        </w:rPr>
      </w:pPr>
      <w:r>
        <w:rPr>
          <w:rFonts w:ascii="Times New Roman" w:hAnsi="Times New Roman" w:cs="Times New Roman"/>
          <w:b/>
          <w:sz w:val="24"/>
          <w:szCs w:val="24"/>
        </w:rPr>
        <w:t>TABLE OF STATUTES</w:t>
      </w:r>
    </w:p>
    <w:p w14:paraId="6AF04AC9">
      <w:pPr>
        <w:rPr>
          <w:rFonts w:ascii="Times New Roman" w:hAnsi="Times New Roman" w:cs="Times New Roman"/>
          <w:b/>
          <w:sz w:val="24"/>
          <w:szCs w:val="24"/>
        </w:rPr>
      </w:pPr>
      <w:r>
        <w:rPr>
          <w:rFonts w:ascii="Times New Roman" w:hAnsi="Times New Roman" w:cs="Times New Roman"/>
          <w:b/>
          <w:sz w:val="24"/>
          <w:szCs w:val="24"/>
        </w:rPr>
        <w:t xml:space="preserve">Nigeria </w:t>
      </w:r>
    </w:p>
    <w:p w14:paraId="52DC3BAC">
      <w:pPr>
        <w:rPr>
          <w:rFonts w:ascii="Times New Roman" w:hAnsi="Times New Roman" w:cs="Times New Roman"/>
          <w:sz w:val="24"/>
          <w:szCs w:val="24"/>
        </w:rPr>
      </w:pPr>
      <w:r>
        <w:rPr>
          <w:rFonts w:ascii="Times New Roman" w:hAnsi="Times New Roman" w:cs="Times New Roman"/>
          <w:sz w:val="24"/>
          <w:szCs w:val="24"/>
        </w:rPr>
        <w:t>Civil Aviation Act 2006-----------------------------------------------------------------------------2</w:t>
      </w:r>
    </w:p>
    <w:p w14:paraId="7518F12F">
      <w:pPr>
        <w:rPr>
          <w:rFonts w:ascii="Times New Roman" w:hAnsi="Times New Roman" w:cs="Times New Roman"/>
          <w:sz w:val="24"/>
          <w:szCs w:val="24"/>
        </w:rPr>
      </w:pPr>
      <w:r>
        <w:rPr>
          <w:rFonts w:ascii="Times New Roman" w:hAnsi="Times New Roman" w:cs="Times New Roman"/>
          <w:sz w:val="24"/>
          <w:szCs w:val="24"/>
        </w:rPr>
        <w:t>Companies and Allied Matters Act 2020---------------------------------------------------------3</w:t>
      </w:r>
    </w:p>
    <w:p w14:paraId="2D90F2E7">
      <w:pPr>
        <w:rPr>
          <w:rFonts w:ascii="Times New Roman" w:hAnsi="Times New Roman" w:cs="Times New Roman"/>
          <w:sz w:val="24"/>
          <w:szCs w:val="24"/>
        </w:rPr>
      </w:pPr>
      <w:r>
        <w:rPr>
          <w:rFonts w:ascii="Times New Roman" w:hAnsi="Times New Roman" w:cs="Times New Roman"/>
          <w:sz w:val="24"/>
          <w:szCs w:val="24"/>
        </w:rPr>
        <w:t>Constitution of Federal Republic of Nigeria1999 (as Amended) -----44, 45, 46, 47, 48, 59</w:t>
      </w:r>
    </w:p>
    <w:p w14:paraId="6FF8F567">
      <w:pPr>
        <w:rPr>
          <w:rFonts w:ascii="Times New Roman" w:hAnsi="Times New Roman" w:cs="Times New Roman"/>
          <w:sz w:val="24"/>
          <w:szCs w:val="24"/>
        </w:rPr>
      </w:pPr>
      <w:r>
        <w:rPr>
          <w:rFonts w:ascii="Times New Roman" w:hAnsi="Times New Roman" w:cs="Times New Roman"/>
          <w:sz w:val="24"/>
          <w:szCs w:val="24"/>
        </w:rPr>
        <w:t>Consumer Protection Council Act 1992-------------------------------------------------------3,10</w:t>
      </w:r>
    </w:p>
    <w:p w14:paraId="07AD3A7C">
      <w:pPr>
        <w:rPr>
          <w:rFonts w:ascii="Times New Roman" w:hAnsi="Times New Roman" w:cs="Times New Roman"/>
          <w:sz w:val="24"/>
          <w:szCs w:val="24"/>
        </w:rPr>
      </w:pPr>
      <w:r>
        <w:rPr>
          <w:rFonts w:ascii="Times New Roman" w:hAnsi="Times New Roman" w:cs="Times New Roman"/>
          <w:sz w:val="24"/>
          <w:szCs w:val="24"/>
        </w:rPr>
        <w:t>Electricity Power Sector Reform Act 2005-----------------------------------------------------2,3</w:t>
      </w:r>
    </w:p>
    <w:p w14:paraId="7F99A4CB">
      <w:pPr>
        <w:rPr>
          <w:rFonts w:ascii="Times New Roman" w:hAnsi="Times New Roman" w:cs="Times New Roman"/>
          <w:sz w:val="24"/>
          <w:szCs w:val="24"/>
        </w:rPr>
      </w:pPr>
      <w:r>
        <w:rPr>
          <w:rFonts w:ascii="Times New Roman" w:hAnsi="Times New Roman" w:cs="Times New Roman"/>
          <w:sz w:val="24"/>
          <w:szCs w:val="24"/>
        </w:rPr>
        <w:t>Federal Competition and Consumer Protection Act 2018--------------1,4,5,7,8,9,10,11,12,13,14,17,19,24,26,30,31,32,33,34,35,36,37,38,39,40,41,45,48,49,50,51,52,53,54,55,56,57,58,60,62,63,64,65,66,67,68,70,71,72,73,74,75,76,77,78,79,80,81,82,83,84,85</w:t>
      </w:r>
    </w:p>
    <w:p w14:paraId="18C9BAFB">
      <w:pPr>
        <w:rPr>
          <w:rFonts w:ascii="Times New Roman" w:hAnsi="Times New Roman" w:cs="Times New Roman"/>
          <w:sz w:val="24"/>
          <w:szCs w:val="24"/>
        </w:rPr>
      </w:pPr>
      <w:r>
        <w:rPr>
          <w:rFonts w:ascii="Times New Roman" w:hAnsi="Times New Roman" w:cs="Times New Roman"/>
          <w:sz w:val="24"/>
          <w:szCs w:val="24"/>
        </w:rPr>
        <w:t>Investment and Securities Act 2007-----------------------------------------------------------2,42</w:t>
      </w:r>
    </w:p>
    <w:p w14:paraId="31BC5154">
      <w:pPr>
        <w:rPr>
          <w:rFonts w:ascii="Times New Roman" w:hAnsi="Times New Roman" w:cs="Times New Roman"/>
          <w:sz w:val="24"/>
          <w:szCs w:val="24"/>
        </w:rPr>
      </w:pPr>
      <w:r>
        <w:rPr>
          <w:rFonts w:ascii="Times New Roman" w:hAnsi="Times New Roman" w:cs="Times New Roman"/>
          <w:sz w:val="24"/>
          <w:szCs w:val="24"/>
        </w:rPr>
        <w:t>Nigerian Communications Act 2003--------------------------------------------------------------2</w:t>
      </w:r>
    </w:p>
    <w:p w14:paraId="1D879132">
      <w:pPr>
        <w:rPr>
          <w:rFonts w:ascii="Times New Roman" w:hAnsi="Times New Roman" w:cs="Times New Roman"/>
          <w:sz w:val="24"/>
          <w:szCs w:val="24"/>
        </w:rPr>
      </w:pPr>
      <w:r>
        <w:rPr>
          <w:rFonts w:ascii="Times New Roman" w:hAnsi="Times New Roman" w:cs="Times New Roman"/>
          <w:sz w:val="24"/>
          <w:szCs w:val="24"/>
          <w:lang w:val="en-GB"/>
        </w:rPr>
        <w:t>Tribunal of Inquiry Act, No. 41</w:t>
      </w:r>
      <w:r>
        <w:rPr>
          <w:rFonts w:ascii="Times New Roman" w:hAnsi="Times New Roman" w:cs="Times New Roman"/>
          <w:sz w:val="24"/>
          <w:szCs w:val="24"/>
        </w:rPr>
        <w:t xml:space="preserve"> 1966------------------------------------------------------------49</w:t>
      </w:r>
    </w:p>
    <w:p w14:paraId="602FC3AD">
      <w:pPr>
        <w:rPr>
          <w:rFonts w:ascii="Times New Roman" w:hAnsi="Times New Roman" w:cs="Times New Roman"/>
          <w:sz w:val="24"/>
          <w:szCs w:val="24"/>
        </w:rPr>
      </w:pPr>
    </w:p>
    <w:p w14:paraId="44B9B5F3">
      <w:pPr>
        <w:rPr>
          <w:rFonts w:ascii="Times New Roman" w:hAnsi="Times New Roman" w:cs="Times New Roman"/>
          <w:b/>
          <w:sz w:val="24"/>
          <w:szCs w:val="24"/>
        </w:rPr>
      </w:pPr>
      <w:r>
        <w:rPr>
          <w:rFonts w:ascii="Times New Roman" w:hAnsi="Times New Roman" w:cs="Times New Roman"/>
          <w:b/>
          <w:sz w:val="24"/>
          <w:szCs w:val="24"/>
        </w:rPr>
        <w:t xml:space="preserve">Foreign </w:t>
      </w:r>
    </w:p>
    <w:p w14:paraId="7629DA71">
      <w:pP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Monopolistic and Restrictive Trade Practices Act 1969 (India) -----------------------------24</w:t>
      </w:r>
    </w:p>
    <w:p w14:paraId="0422CC09">
      <w:pPr>
        <w:rPr>
          <w:rFonts w:ascii="Times New Roman" w:hAnsi="Times New Roman" w:cs="Times New Roman"/>
          <w:sz w:val="24"/>
          <w:szCs w:val="24"/>
        </w:rPr>
      </w:pPr>
    </w:p>
    <w:p w14:paraId="15552D08">
      <w:pPr>
        <w:rPr>
          <w:rFonts w:ascii="Times New Roman" w:hAnsi="Times New Roman" w:cs="Times New Roman"/>
          <w:sz w:val="24"/>
          <w:szCs w:val="24"/>
        </w:rPr>
      </w:pPr>
    </w:p>
    <w:p w14:paraId="4EE7CF74">
      <w:pPr>
        <w:rPr>
          <w:rFonts w:ascii="Times New Roman" w:hAnsi="Times New Roman" w:cs="Times New Roman"/>
          <w:sz w:val="24"/>
          <w:szCs w:val="24"/>
        </w:rPr>
      </w:pPr>
    </w:p>
    <w:p w14:paraId="60CFE1B2">
      <w:pPr>
        <w:rPr>
          <w:rFonts w:ascii="Times New Roman" w:hAnsi="Times New Roman" w:cs="Times New Roman"/>
          <w:sz w:val="24"/>
          <w:szCs w:val="24"/>
        </w:rPr>
      </w:pPr>
    </w:p>
    <w:p w14:paraId="28D44903">
      <w:pPr>
        <w:rPr>
          <w:rFonts w:ascii="Times New Roman" w:hAnsi="Times New Roman" w:cs="Times New Roman"/>
          <w:sz w:val="24"/>
          <w:szCs w:val="24"/>
        </w:rPr>
      </w:pPr>
    </w:p>
    <w:p w14:paraId="02E2043D">
      <w:pPr>
        <w:rPr>
          <w:rFonts w:ascii="Times New Roman" w:hAnsi="Times New Roman" w:cs="Times New Roman"/>
          <w:sz w:val="24"/>
          <w:szCs w:val="24"/>
        </w:rPr>
      </w:pPr>
    </w:p>
    <w:p w14:paraId="635089EA">
      <w:pPr>
        <w:rPr>
          <w:rFonts w:ascii="Times New Roman" w:hAnsi="Times New Roman" w:cs="Times New Roman"/>
          <w:sz w:val="24"/>
          <w:szCs w:val="24"/>
        </w:rPr>
      </w:pPr>
    </w:p>
    <w:p w14:paraId="4459ED77">
      <w:pPr>
        <w:rPr>
          <w:rFonts w:ascii="Times New Roman" w:hAnsi="Times New Roman" w:cs="Times New Roman"/>
          <w:sz w:val="24"/>
          <w:szCs w:val="24"/>
        </w:rPr>
      </w:pPr>
    </w:p>
    <w:p w14:paraId="36F60234">
      <w:pPr>
        <w:rPr>
          <w:rFonts w:ascii="Times New Roman" w:hAnsi="Times New Roman" w:cs="Times New Roman"/>
          <w:sz w:val="24"/>
          <w:szCs w:val="24"/>
        </w:rPr>
      </w:pPr>
    </w:p>
    <w:p w14:paraId="735B76FE">
      <w:pPr>
        <w:rPr>
          <w:rFonts w:ascii="Times New Roman" w:hAnsi="Times New Roman" w:cs="Times New Roman"/>
          <w:sz w:val="24"/>
          <w:szCs w:val="24"/>
        </w:rPr>
      </w:pPr>
    </w:p>
    <w:p w14:paraId="3C1EF220">
      <w:pPr>
        <w:jc w:val="center"/>
        <w:rPr>
          <w:rFonts w:ascii="Times New Roman" w:hAnsi="Times New Roman" w:cs="Times New Roman"/>
          <w:b/>
          <w:sz w:val="24"/>
          <w:szCs w:val="24"/>
        </w:rPr>
      </w:pPr>
      <w:r>
        <w:rPr>
          <w:rFonts w:ascii="Times New Roman" w:hAnsi="Times New Roman" w:cs="Times New Roman"/>
          <w:b/>
          <w:sz w:val="24"/>
          <w:szCs w:val="24"/>
        </w:rPr>
        <w:t>LIST OF ABBREVIATION</w:t>
      </w:r>
    </w:p>
    <w:p w14:paraId="71CDE6DC">
      <w:pPr>
        <w:rPr>
          <w:rFonts w:ascii="Times New Roman" w:hAnsi="Times New Roman" w:cs="Times New Roman"/>
          <w:sz w:val="24"/>
          <w:szCs w:val="24"/>
        </w:rPr>
      </w:pPr>
    </w:p>
    <w:p w14:paraId="39F213DB">
      <w:pPr>
        <w:rPr>
          <w:rFonts w:ascii="Times New Roman" w:hAnsi="Times New Roman" w:cs="Times New Roman"/>
          <w:color w:val="000000"/>
          <w:sz w:val="24"/>
          <w:szCs w:val="24"/>
        </w:rPr>
      </w:pPr>
      <w:r>
        <w:rPr>
          <w:rFonts w:ascii="Times New Roman" w:hAnsi="Times New Roman" w:cs="Times New Roman"/>
          <w:color w:val="000000"/>
          <w:sz w:val="24"/>
          <w:szCs w:val="24"/>
        </w:rPr>
        <w:t xml:space="preserve">AC:               </w:t>
      </w:r>
      <w:r>
        <w:rPr>
          <w:rFonts w:ascii="Times New Roman" w:hAnsi="Times New Roman" w:cs="Times New Roman"/>
          <w:color w:val="000000"/>
          <w:sz w:val="24"/>
          <w:szCs w:val="24"/>
        </w:rPr>
        <w:tab/>
      </w:r>
      <w:r>
        <w:rPr>
          <w:rFonts w:ascii="Times New Roman" w:hAnsi="Times New Roman" w:cs="Times New Roman"/>
          <w:color w:val="000000"/>
          <w:sz w:val="24"/>
          <w:szCs w:val="24"/>
        </w:rPr>
        <w:t>Appeal Court</w:t>
      </w:r>
    </w:p>
    <w:p w14:paraId="18863808">
      <w:pPr>
        <w:rPr>
          <w:rFonts w:ascii="Times New Roman" w:hAnsi="Times New Roman" w:cs="Times New Roman"/>
          <w:sz w:val="24"/>
          <w:szCs w:val="24"/>
        </w:rPr>
      </w:pPr>
      <w:r>
        <w:rPr>
          <w:rFonts w:ascii="Times New Roman" w:hAnsi="Times New Roman" w:cs="Times New Roman"/>
          <w:sz w:val="24"/>
          <w:szCs w:val="24"/>
        </w:rPr>
        <w:t xml:space="preserve">AD-              </w:t>
      </w:r>
      <w:r>
        <w:rPr>
          <w:rFonts w:ascii="Times New Roman" w:hAnsi="Times New Roman" w:cs="Times New Roman"/>
          <w:sz w:val="24"/>
          <w:szCs w:val="24"/>
        </w:rPr>
        <w:tab/>
      </w:r>
      <w:r>
        <w:rPr>
          <w:rFonts w:ascii="Times New Roman" w:hAnsi="Times New Roman" w:cs="Times New Roman"/>
          <w:i/>
          <w:sz w:val="24"/>
          <w:szCs w:val="24"/>
        </w:rPr>
        <w:t>Anno Domini</w:t>
      </w:r>
    </w:p>
    <w:p w14:paraId="6FA19041">
      <w:pPr>
        <w:spacing w:after="0" w:line="480" w:lineRule="auto"/>
        <w:rPr>
          <w:rFonts w:ascii="Times New Roman" w:hAnsi="Times New Roman" w:eastAsia="Times New Roman" w:cs="Times New Roman"/>
          <w:bCs/>
          <w:iCs/>
          <w:color w:val="000000"/>
          <w:sz w:val="24"/>
          <w:szCs w:val="24"/>
        </w:rPr>
      </w:pPr>
      <w:r>
        <w:rPr>
          <w:rFonts w:ascii="Times New Roman" w:hAnsi="Times New Roman" w:eastAsia="Times New Roman" w:cs="Times New Roman"/>
          <w:bCs/>
          <w:iCs/>
          <w:color w:val="000000"/>
          <w:sz w:val="24"/>
          <w:szCs w:val="24"/>
        </w:rPr>
        <w:t xml:space="preserve">AITDF-         </w:t>
      </w:r>
      <w:r>
        <w:rPr>
          <w:rFonts w:ascii="Times New Roman" w:hAnsi="Times New Roman" w:eastAsia="Times New Roman" w:cs="Times New Roman"/>
          <w:bCs/>
          <w:iCs/>
          <w:color w:val="000000"/>
          <w:sz w:val="24"/>
          <w:szCs w:val="24"/>
        </w:rPr>
        <w:tab/>
      </w:r>
      <w:r>
        <w:rPr>
          <w:rFonts w:ascii="Times New Roman" w:hAnsi="Times New Roman" w:eastAsia="Times New Roman" w:cs="Times New Roman"/>
          <w:bCs/>
          <w:iCs/>
          <w:color w:val="000000"/>
          <w:sz w:val="24"/>
          <w:szCs w:val="24"/>
        </w:rPr>
        <w:t xml:space="preserve">All India Tyre Dealers’ Federation </w:t>
      </w:r>
    </w:p>
    <w:p w14:paraId="08D0A415">
      <w:pPr>
        <w:spacing w:after="0" w:line="48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AMPTPP-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Association of Motion Pictures and Television Programme Producers </w:t>
      </w:r>
    </w:p>
    <w:p w14:paraId="35F74A38">
      <w:pPr>
        <w:rPr>
          <w:rFonts w:ascii="Times New Roman" w:hAnsi="Times New Roman" w:cs="Times New Roman"/>
          <w:sz w:val="24"/>
          <w:szCs w:val="24"/>
        </w:rPr>
      </w:pPr>
      <w:r>
        <w:rPr>
          <w:rFonts w:ascii="Times New Roman" w:hAnsi="Times New Roman" w:cs="Times New Roman"/>
          <w:sz w:val="24"/>
          <w:szCs w:val="24"/>
        </w:rPr>
        <w:t xml:space="preserve">BA-               </w:t>
      </w:r>
      <w:r>
        <w:rPr>
          <w:rFonts w:ascii="Times New Roman" w:hAnsi="Times New Roman" w:cs="Times New Roman"/>
          <w:sz w:val="24"/>
          <w:szCs w:val="24"/>
        </w:rPr>
        <w:tab/>
      </w:r>
      <w:r>
        <w:rPr>
          <w:rFonts w:ascii="Times New Roman" w:hAnsi="Times New Roman" w:cs="Times New Roman"/>
          <w:sz w:val="24"/>
          <w:szCs w:val="24"/>
        </w:rPr>
        <w:t xml:space="preserve">British Airways </w:t>
      </w:r>
    </w:p>
    <w:p w14:paraId="1D2068A2">
      <w:pP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BPE-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Bureau of Public Enterprises </w:t>
      </w:r>
    </w:p>
    <w:p w14:paraId="6F8FF09B">
      <w:pPr>
        <w:rPr>
          <w:rFonts w:ascii="Times New Roman" w:hAnsi="Times New Roman" w:cs="Times New Roman"/>
          <w:sz w:val="24"/>
          <w:szCs w:val="24"/>
        </w:rPr>
      </w:pPr>
      <w:r>
        <w:rPr>
          <w:rFonts w:ascii="Times New Roman" w:hAnsi="Times New Roman" w:cs="Times New Roman"/>
          <w:sz w:val="24"/>
          <w:szCs w:val="24"/>
        </w:rPr>
        <w:t xml:space="preserve">CAC-            </w:t>
      </w:r>
      <w:r>
        <w:rPr>
          <w:rFonts w:ascii="Times New Roman" w:hAnsi="Times New Roman" w:cs="Times New Roman"/>
          <w:sz w:val="24"/>
          <w:szCs w:val="24"/>
        </w:rPr>
        <w:tab/>
      </w:r>
      <w:r>
        <w:rPr>
          <w:rFonts w:ascii="Times New Roman" w:hAnsi="Times New Roman" w:cs="Times New Roman"/>
          <w:sz w:val="24"/>
          <w:szCs w:val="24"/>
        </w:rPr>
        <w:t xml:space="preserve">Corporate Affairs Commission </w:t>
      </w:r>
    </w:p>
    <w:p w14:paraId="02880F99">
      <w:pPr>
        <w:rPr>
          <w:rFonts w:ascii="Times New Roman" w:hAnsi="Times New Roman" w:cs="Times New Roman"/>
          <w:sz w:val="24"/>
          <w:szCs w:val="24"/>
        </w:rPr>
      </w:pPr>
      <w:r>
        <w:rPr>
          <w:rFonts w:ascii="Times New Roman" w:hAnsi="Times New Roman" w:cs="Times New Roman"/>
          <w:sz w:val="24"/>
          <w:szCs w:val="24"/>
        </w:rPr>
        <w:t xml:space="preserve">CAMA-        </w:t>
      </w:r>
      <w:r>
        <w:rPr>
          <w:rFonts w:ascii="Times New Roman" w:hAnsi="Times New Roman" w:cs="Times New Roman"/>
          <w:sz w:val="24"/>
          <w:szCs w:val="24"/>
        </w:rPr>
        <w:tab/>
      </w:r>
      <w:r>
        <w:rPr>
          <w:rFonts w:ascii="Times New Roman" w:hAnsi="Times New Roman" w:cs="Times New Roman"/>
          <w:sz w:val="24"/>
          <w:szCs w:val="24"/>
        </w:rPr>
        <w:t xml:space="preserve">Companies and Allied Matters Act </w:t>
      </w:r>
    </w:p>
    <w:p w14:paraId="41F7CB37">
      <w:pPr>
        <w:rPr>
          <w:rFonts w:ascii="Times New Roman" w:hAnsi="Times New Roman" w:cs="Times New Roman"/>
          <w:sz w:val="24"/>
          <w:szCs w:val="24"/>
        </w:rPr>
      </w:pPr>
      <w:r>
        <w:rPr>
          <w:rStyle w:val="12"/>
          <w:rFonts w:ascii="Times New Roman" w:hAnsi="Times New Roman" w:cs="Times New Roman"/>
          <w:b w:val="0"/>
          <w:sz w:val="24"/>
          <w:szCs w:val="24"/>
        </w:rPr>
        <w:t>CBN-</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 xml:space="preserve">Central Bank of Nigeria </w:t>
      </w:r>
    </w:p>
    <w:p w14:paraId="19B5D00B">
      <w:pP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CCI-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Competition Commission of India </w:t>
      </w:r>
    </w:p>
    <w:p w14:paraId="7AE45157">
      <w:pPr>
        <w:spacing w:after="0" w:line="480" w:lineRule="auto"/>
        <w:rPr>
          <w:rFonts w:ascii="Times New Roman" w:hAnsi="Times New Roman" w:eastAsia="Times New Roman" w:cs="Times New Roman"/>
          <w:sz w:val="24"/>
          <w:szCs w:val="24"/>
        </w:rPr>
      </w:pPr>
      <w:r>
        <w:rPr>
          <w:rFonts w:ascii="Times New Roman" w:hAnsi="Times New Roman" w:cs="Times New Roman"/>
          <w:sz w:val="24"/>
          <w:szCs w:val="24"/>
        </w:rPr>
        <w:t xml:space="preserve">CCPT-          </w:t>
      </w:r>
      <w:r>
        <w:rPr>
          <w:rFonts w:ascii="Times New Roman" w:hAnsi="Times New Roman" w:cs="Times New Roman"/>
          <w:sz w:val="24"/>
          <w:szCs w:val="24"/>
        </w:rPr>
        <w:tab/>
      </w:r>
      <w:r>
        <w:rPr>
          <w:rFonts w:ascii="Times New Roman" w:hAnsi="Times New Roman" w:cs="Times New Roman"/>
          <w:sz w:val="24"/>
          <w:szCs w:val="24"/>
        </w:rPr>
        <w:t xml:space="preserve">Competition and Consumer Protection Tribunal </w:t>
      </w:r>
    </w:p>
    <w:p w14:paraId="28DF8CAB">
      <w:pPr>
        <w:rPr>
          <w:rFonts w:ascii="Times New Roman" w:hAnsi="Times New Roman" w:cs="Times New Roman"/>
          <w:sz w:val="24"/>
          <w:szCs w:val="24"/>
        </w:rPr>
      </w:pPr>
      <w:r>
        <w:rPr>
          <w:rFonts w:ascii="Times New Roman" w:hAnsi="Times New Roman" w:cs="Times New Roman"/>
          <w:sz w:val="24"/>
          <w:szCs w:val="24"/>
        </w:rPr>
        <w:t xml:space="preserve">CPC-            </w:t>
      </w:r>
      <w:r>
        <w:rPr>
          <w:rFonts w:ascii="Times New Roman" w:hAnsi="Times New Roman" w:cs="Times New Roman"/>
          <w:sz w:val="24"/>
          <w:szCs w:val="24"/>
        </w:rPr>
        <w:tab/>
      </w:r>
      <w:r>
        <w:rPr>
          <w:rFonts w:ascii="Times New Roman" w:hAnsi="Times New Roman" w:cs="Times New Roman"/>
          <w:sz w:val="24"/>
          <w:szCs w:val="24"/>
        </w:rPr>
        <w:t xml:space="preserve">Consumer Protection Council </w:t>
      </w:r>
    </w:p>
    <w:p w14:paraId="32CAFA6E">
      <w:pPr>
        <w:rPr>
          <w:rFonts w:ascii="Times New Roman" w:hAnsi="Times New Roman" w:cs="Times New Roman"/>
          <w:sz w:val="24"/>
          <w:szCs w:val="24"/>
        </w:rPr>
      </w:pPr>
      <w:r>
        <w:rPr>
          <w:rFonts w:ascii="Times New Roman" w:hAnsi="Times New Roman" w:cs="Times New Roman"/>
          <w:sz w:val="24"/>
          <w:szCs w:val="24"/>
        </w:rPr>
        <w:t xml:space="preserve">CPCA-         </w:t>
      </w:r>
      <w:r>
        <w:rPr>
          <w:rFonts w:ascii="Times New Roman" w:hAnsi="Times New Roman" w:cs="Times New Roman"/>
          <w:sz w:val="24"/>
          <w:szCs w:val="24"/>
        </w:rPr>
        <w:tab/>
      </w:r>
      <w:r>
        <w:rPr>
          <w:rFonts w:ascii="Times New Roman" w:hAnsi="Times New Roman" w:cs="Times New Roman"/>
          <w:sz w:val="24"/>
          <w:szCs w:val="24"/>
        </w:rPr>
        <w:t>Consumer Protection Council Act</w:t>
      </w:r>
    </w:p>
    <w:p w14:paraId="075AA730">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ECU-            </w:t>
      </w:r>
      <w:r>
        <w:rPr>
          <w:rFonts w:ascii="Times New Roman" w:hAnsi="Times New Roman" w:cs="Times New Roman"/>
          <w:sz w:val="24"/>
          <w:szCs w:val="24"/>
        </w:rPr>
        <w:tab/>
      </w:r>
      <w:r>
        <w:rPr>
          <w:rFonts w:ascii="Times New Roman" w:hAnsi="Times New Roman" w:cs="Times New Roman"/>
          <w:sz w:val="24"/>
          <w:szCs w:val="24"/>
        </w:rPr>
        <w:t xml:space="preserve">East Carolina University </w:t>
      </w:r>
    </w:p>
    <w:p w14:paraId="20981932">
      <w:pPr>
        <w:rPr>
          <w:rFonts w:ascii="Times New Roman" w:hAnsi="Times New Roman" w:cs="Times New Roman"/>
          <w:sz w:val="24"/>
          <w:szCs w:val="24"/>
        </w:rPr>
      </w:pPr>
      <w:r>
        <w:rPr>
          <w:rFonts w:ascii="Times New Roman" w:hAnsi="Times New Roman" w:cs="Times New Roman"/>
          <w:sz w:val="24"/>
          <w:szCs w:val="24"/>
        </w:rPr>
        <w:t xml:space="preserve">EPSRA-        </w:t>
      </w:r>
      <w:r>
        <w:rPr>
          <w:rFonts w:ascii="Times New Roman" w:hAnsi="Times New Roman" w:cs="Times New Roman"/>
          <w:sz w:val="24"/>
          <w:szCs w:val="24"/>
        </w:rPr>
        <w:tab/>
      </w:r>
      <w:r>
        <w:rPr>
          <w:rFonts w:ascii="Times New Roman" w:hAnsi="Times New Roman" w:cs="Times New Roman"/>
          <w:sz w:val="24"/>
          <w:szCs w:val="24"/>
        </w:rPr>
        <w:t xml:space="preserve">Electricity Power Sector Reforms Act </w:t>
      </w:r>
    </w:p>
    <w:p w14:paraId="3A8F2CF9">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FCCPC-        </w:t>
      </w:r>
      <w:r>
        <w:rPr>
          <w:rFonts w:ascii="Times New Roman" w:hAnsi="Times New Roman" w:cs="Times New Roman"/>
          <w:sz w:val="24"/>
          <w:szCs w:val="24"/>
        </w:rPr>
        <w:tab/>
      </w:r>
      <w:r>
        <w:rPr>
          <w:rFonts w:ascii="Times New Roman" w:hAnsi="Times New Roman" w:cs="Times New Roman"/>
          <w:sz w:val="24"/>
          <w:szCs w:val="24"/>
          <w:lang w:val="en-GB"/>
        </w:rPr>
        <w:t>Federal Competitive and Consum</w:t>
      </w:r>
      <w:r>
        <w:rPr>
          <w:rFonts w:ascii="Times New Roman" w:hAnsi="Times New Roman" w:cs="Times New Roman"/>
          <w:sz w:val="24"/>
          <w:szCs w:val="24"/>
        </w:rPr>
        <w:t xml:space="preserve">er Protection Commission </w:t>
      </w:r>
    </w:p>
    <w:p w14:paraId="0C0546AB">
      <w:pPr>
        <w:spacing w:after="0" w:line="48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lang w:val="en-GB"/>
        </w:rPr>
        <w:t>FCT</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Federal Capital Territory </w:t>
      </w:r>
    </w:p>
    <w:p w14:paraId="51D9A98F">
      <w:pP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FICCI-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Federation of India Chambers of Commerce and Industry</w:t>
      </w:r>
    </w:p>
    <w:p w14:paraId="5D5D62AF">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FMITI-         </w:t>
      </w:r>
      <w:r>
        <w:rPr>
          <w:rFonts w:ascii="Times New Roman" w:hAnsi="Times New Roman" w:cs="Times New Roman"/>
          <w:sz w:val="24"/>
          <w:szCs w:val="24"/>
        </w:rPr>
        <w:tab/>
      </w:r>
      <w:r>
        <w:rPr>
          <w:rFonts w:ascii="Times New Roman" w:hAnsi="Times New Roman" w:cs="Times New Roman"/>
          <w:sz w:val="24"/>
          <w:szCs w:val="24"/>
          <w:lang w:val="en-GB"/>
        </w:rPr>
        <w:t>Federal Ministry of Industry, Trade and Investme</w:t>
      </w:r>
      <w:r>
        <w:rPr>
          <w:rFonts w:ascii="Times New Roman" w:hAnsi="Times New Roman" w:cs="Times New Roman"/>
          <w:sz w:val="24"/>
          <w:szCs w:val="24"/>
        </w:rPr>
        <w:t xml:space="preserve">nt </w:t>
      </w:r>
    </w:p>
    <w:p w14:paraId="13C32140">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FMoJ-          </w:t>
      </w:r>
      <w:r>
        <w:rPr>
          <w:rFonts w:ascii="Times New Roman" w:hAnsi="Times New Roman" w:cs="Times New Roman"/>
          <w:sz w:val="24"/>
          <w:szCs w:val="24"/>
        </w:rPr>
        <w:tab/>
      </w:r>
      <w:r>
        <w:rPr>
          <w:rFonts w:ascii="Times New Roman" w:hAnsi="Times New Roman" w:cs="Times New Roman"/>
          <w:sz w:val="24"/>
          <w:szCs w:val="24"/>
        </w:rPr>
        <w:t xml:space="preserve">Federal Ministry of Justice </w:t>
      </w:r>
    </w:p>
    <w:p w14:paraId="4C3E760B">
      <w:pPr>
        <w:spacing w:after="0" w:line="48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FTPGI-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Film and Television Producers Guild of India Ltd </w:t>
      </w:r>
    </w:p>
    <w:p w14:paraId="36F8C91D">
      <w:pPr>
        <w:rPr>
          <w:rFonts w:ascii="Times New Roman" w:hAnsi="Times New Roman" w:cs="Times New Roman"/>
          <w:sz w:val="24"/>
          <w:szCs w:val="24"/>
        </w:rPr>
      </w:pPr>
      <w:r>
        <w:rPr>
          <w:rFonts w:ascii="Times New Roman" w:hAnsi="Times New Roman" w:cs="Times New Roman"/>
          <w:sz w:val="24"/>
          <w:szCs w:val="24"/>
        </w:rPr>
        <w:t xml:space="preserve">ISA-          </w:t>
      </w:r>
      <w:r>
        <w:rPr>
          <w:rFonts w:ascii="Times New Roman" w:hAnsi="Times New Roman" w:cs="Times New Roman"/>
          <w:sz w:val="24"/>
          <w:szCs w:val="24"/>
        </w:rPr>
        <w:tab/>
      </w:r>
      <w:r>
        <w:rPr>
          <w:rFonts w:ascii="Times New Roman" w:hAnsi="Times New Roman" w:cs="Times New Roman"/>
          <w:sz w:val="24"/>
          <w:szCs w:val="24"/>
        </w:rPr>
        <w:t>Investment and Securities Act</w:t>
      </w:r>
    </w:p>
    <w:p w14:paraId="63B1AFEE">
      <w:pPr>
        <w:rPr>
          <w:rFonts w:ascii="Times New Roman" w:hAnsi="Times New Roman" w:cs="Times New Roman"/>
          <w:sz w:val="24"/>
          <w:szCs w:val="24"/>
        </w:rPr>
      </w:pPr>
      <w:r>
        <w:rPr>
          <w:rFonts w:ascii="Times New Roman" w:hAnsi="Times New Roman" w:cs="Times New Roman"/>
          <w:sz w:val="24"/>
          <w:szCs w:val="24"/>
        </w:rPr>
        <w:t xml:space="preserve">LFN-         </w:t>
      </w:r>
      <w:r>
        <w:rPr>
          <w:rFonts w:ascii="Times New Roman" w:hAnsi="Times New Roman" w:cs="Times New Roman"/>
          <w:sz w:val="24"/>
          <w:szCs w:val="24"/>
        </w:rPr>
        <w:tab/>
      </w:r>
      <w:r>
        <w:rPr>
          <w:rFonts w:ascii="Times New Roman" w:hAnsi="Times New Roman" w:cs="Times New Roman"/>
          <w:sz w:val="24"/>
          <w:szCs w:val="24"/>
        </w:rPr>
        <w:t xml:space="preserve">Laws of the Federation of Nigeria </w:t>
      </w:r>
    </w:p>
    <w:p w14:paraId="2429C866">
      <w:pPr>
        <w:rPr>
          <w:rFonts w:ascii="Times New Roman" w:hAnsi="Times New Roman" w:cs="Times New Roman"/>
          <w:color w:val="000000"/>
          <w:sz w:val="24"/>
          <w:szCs w:val="24"/>
        </w:rPr>
      </w:pPr>
      <w:r>
        <w:rPr>
          <w:rFonts w:ascii="Times New Roman" w:hAnsi="Times New Roman" w:cs="Times New Roman"/>
          <w:color w:val="000000"/>
          <w:sz w:val="24"/>
          <w:szCs w:val="24"/>
        </w:rPr>
        <w:t>LPELR-</w:t>
      </w:r>
      <w:r>
        <w:rPr>
          <w:rFonts w:ascii="Times New Roman" w:hAnsi="Times New Roman" w:cs="Times New Roman"/>
          <w:color w:val="000000"/>
          <w:sz w:val="24"/>
          <w:szCs w:val="24"/>
        </w:rPr>
        <w:tab/>
      </w:r>
      <w:r>
        <w:rPr>
          <w:rFonts w:ascii="Times New Roman" w:hAnsi="Times New Roman" w:cs="Times New Roman"/>
          <w:color w:val="000000"/>
          <w:sz w:val="24"/>
          <w:szCs w:val="24"/>
        </w:rPr>
        <w:t>Law Pavilion Electronic Law Report</w:t>
      </w:r>
    </w:p>
    <w:p w14:paraId="0B160350">
      <w:pPr>
        <w:rPr>
          <w:rFonts w:ascii="Times New Roman" w:hAnsi="Times New Roman" w:cs="Times New Roman"/>
          <w:sz w:val="24"/>
          <w:szCs w:val="24"/>
        </w:rPr>
      </w:pPr>
      <w:r>
        <w:rPr>
          <w:rFonts w:ascii="Times New Roman" w:hAnsi="Times New Roman" w:cs="Times New Roman"/>
          <w:sz w:val="24"/>
          <w:szCs w:val="24"/>
        </w:rPr>
        <w:t xml:space="preserve">MAN-       </w:t>
      </w:r>
      <w:r>
        <w:rPr>
          <w:rFonts w:ascii="Times New Roman" w:hAnsi="Times New Roman" w:cs="Times New Roman"/>
          <w:sz w:val="24"/>
          <w:szCs w:val="24"/>
        </w:rPr>
        <w:tab/>
      </w:r>
      <w:r>
        <w:rPr>
          <w:rFonts w:ascii="Times New Roman" w:hAnsi="Times New Roman" w:cs="Times New Roman"/>
          <w:sz w:val="24"/>
          <w:szCs w:val="24"/>
        </w:rPr>
        <w:t xml:space="preserve">Manufacturers Association of Nigeria </w:t>
      </w:r>
    </w:p>
    <w:p w14:paraId="4D89C405">
      <w:pPr>
        <w:spacing w:after="0" w:line="48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MRTP-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Monopolistic and Restrictive Trade Practices  </w:t>
      </w:r>
    </w:p>
    <w:p w14:paraId="012A15E0">
      <w:pPr>
        <w:rPr>
          <w:rFonts w:ascii="Times New Roman" w:hAnsi="Times New Roman" w:cs="Times New Roman"/>
          <w:sz w:val="24"/>
          <w:szCs w:val="24"/>
        </w:rPr>
      </w:pPr>
      <w:r>
        <w:rPr>
          <w:rFonts w:ascii="Times New Roman" w:hAnsi="Times New Roman" w:cs="Times New Roman"/>
          <w:sz w:val="24"/>
          <w:szCs w:val="24"/>
        </w:rPr>
        <w:t xml:space="preserve">NAFDAC- </w:t>
      </w:r>
      <w:r>
        <w:rPr>
          <w:rFonts w:ascii="Times New Roman" w:hAnsi="Times New Roman" w:cs="Times New Roman"/>
          <w:sz w:val="24"/>
          <w:szCs w:val="24"/>
        </w:rPr>
        <w:tab/>
      </w:r>
      <w:r>
        <w:rPr>
          <w:rFonts w:ascii="Times New Roman" w:hAnsi="Times New Roman" w:cs="Times New Roman"/>
          <w:sz w:val="24"/>
          <w:szCs w:val="24"/>
        </w:rPr>
        <w:t xml:space="preserve">National Agency for Food and Drug Administration and Control </w:t>
      </w:r>
    </w:p>
    <w:p w14:paraId="41884E80">
      <w:pPr>
        <w:rPr>
          <w:rFonts w:ascii="Times New Roman" w:hAnsi="Times New Roman" w:cs="Times New Roman"/>
          <w:sz w:val="24"/>
          <w:szCs w:val="24"/>
        </w:rPr>
      </w:pPr>
      <w:r>
        <w:rPr>
          <w:rStyle w:val="12"/>
          <w:rFonts w:ascii="Times New Roman" w:hAnsi="Times New Roman" w:cs="Times New Roman"/>
          <w:b w:val="0"/>
          <w:sz w:val="24"/>
          <w:szCs w:val="24"/>
        </w:rPr>
        <w:t xml:space="preserve">NAICOM-   </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 xml:space="preserve">National Insurance Commission </w:t>
      </w:r>
    </w:p>
    <w:p w14:paraId="45092377">
      <w:pPr>
        <w:rPr>
          <w:rFonts w:ascii="Times New Roman" w:hAnsi="Times New Roman" w:cs="Times New Roman"/>
          <w:sz w:val="24"/>
          <w:szCs w:val="24"/>
        </w:rPr>
      </w:pPr>
      <w:r>
        <w:rPr>
          <w:rFonts w:ascii="Times New Roman" w:hAnsi="Times New Roman" w:cs="Times New Roman"/>
          <w:sz w:val="24"/>
          <w:szCs w:val="24"/>
        </w:rPr>
        <w:t xml:space="preserve">NBC-           </w:t>
      </w:r>
      <w:r>
        <w:rPr>
          <w:rFonts w:ascii="Times New Roman" w:hAnsi="Times New Roman" w:cs="Times New Roman"/>
          <w:sz w:val="24"/>
          <w:szCs w:val="24"/>
        </w:rPr>
        <w:tab/>
      </w:r>
      <w:r>
        <w:rPr>
          <w:rFonts w:ascii="Times New Roman" w:hAnsi="Times New Roman" w:cs="Times New Roman"/>
          <w:sz w:val="24"/>
          <w:szCs w:val="24"/>
        </w:rPr>
        <w:t>Nigeria Bottling Company</w:t>
      </w:r>
    </w:p>
    <w:p w14:paraId="5E1BD461">
      <w:pPr>
        <w:rPr>
          <w:rFonts w:ascii="Times New Roman" w:hAnsi="Times New Roman" w:cs="Times New Roman"/>
          <w:sz w:val="24"/>
          <w:szCs w:val="24"/>
        </w:rPr>
      </w:pPr>
      <w:r>
        <w:rPr>
          <w:rFonts w:ascii="Times New Roman" w:hAnsi="Times New Roman" w:cs="Times New Roman"/>
          <w:sz w:val="24"/>
          <w:szCs w:val="24"/>
        </w:rPr>
        <w:t xml:space="preserve">NCAA-      </w:t>
      </w:r>
      <w:r>
        <w:rPr>
          <w:rFonts w:ascii="Times New Roman" w:hAnsi="Times New Roman" w:cs="Times New Roman"/>
          <w:sz w:val="24"/>
          <w:szCs w:val="24"/>
        </w:rPr>
        <w:tab/>
      </w:r>
      <w:r>
        <w:rPr>
          <w:rFonts w:ascii="Times New Roman" w:hAnsi="Times New Roman" w:cs="Times New Roman"/>
          <w:sz w:val="24"/>
          <w:szCs w:val="24"/>
        </w:rPr>
        <w:t xml:space="preserve">Nigerian Civil Aviation Authority </w:t>
      </w:r>
    </w:p>
    <w:p w14:paraId="1048053F">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NCC-         </w:t>
      </w:r>
      <w:r>
        <w:rPr>
          <w:rFonts w:ascii="Times New Roman" w:hAnsi="Times New Roman" w:cs="Times New Roman"/>
          <w:sz w:val="24"/>
          <w:szCs w:val="24"/>
        </w:rPr>
        <w:tab/>
      </w:r>
      <w:r>
        <w:rPr>
          <w:rFonts w:ascii="Times New Roman" w:hAnsi="Times New Roman" w:cs="Times New Roman"/>
          <w:sz w:val="24"/>
          <w:szCs w:val="24"/>
        </w:rPr>
        <w:t xml:space="preserve">Nigerian Communications Commission </w:t>
      </w:r>
    </w:p>
    <w:p w14:paraId="0BA722A5">
      <w:pPr>
        <w:rPr>
          <w:rFonts w:ascii="Times New Roman" w:hAnsi="Times New Roman" w:cs="Times New Roman"/>
          <w:sz w:val="24"/>
          <w:szCs w:val="24"/>
        </w:rPr>
      </w:pPr>
      <w:r>
        <w:rPr>
          <w:rFonts w:ascii="Times New Roman" w:hAnsi="Times New Roman" w:cs="Times New Roman"/>
          <w:sz w:val="24"/>
          <w:szCs w:val="24"/>
        </w:rPr>
        <w:t xml:space="preserve">NERC-        </w:t>
      </w:r>
      <w:r>
        <w:rPr>
          <w:rFonts w:ascii="Times New Roman" w:hAnsi="Times New Roman" w:cs="Times New Roman"/>
          <w:sz w:val="24"/>
          <w:szCs w:val="24"/>
        </w:rPr>
        <w:tab/>
      </w:r>
      <w:r>
        <w:rPr>
          <w:rFonts w:ascii="Times New Roman" w:hAnsi="Times New Roman" w:cs="Times New Roman"/>
          <w:sz w:val="24"/>
          <w:szCs w:val="24"/>
        </w:rPr>
        <w:t xml:space="preserve">Nigerian Electricity Regulatory Commission </w:t>
      </w:r>
    </w:p>
    <w:p w14:paraId="16A93F36">
      <w:pPr>
        <w:rPr>
          <w:rFonts w:ascii="Times New Roman" w:hAnsi="Times New Roman" w:cs="Times New Roman"/>
          <w:sz w:val="24"/>
          <w:szCs w:val="24"/>
        </w:rPr>
      </w:pPr>
      <w:r>
        <w:rPr>
          <w:rFonts w:ascii="Times New Roman" w:hAnsi="Times New Roman" w:cs="Times New Roman"/>
          <w:bCs/>
          <w:sz w:val="24"/>
          <w:szCs w:val="24"/>
        </w:rPr>
        <w:t>NGX-</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 xml:space="preserve">Nigerian Exchange Limited </w:t>
      </w:r>
    </w:p>
    <w:p w14:paraId="779760E7">
      <w:pP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OP-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Opposite Party </w:t>
      </w:r>
    </w:p>
    <w:p w14:paraId="2C107590">
      <w:pPr>
        <w:rPr>
          <w:rFonts w:ascii="Times New Roman" w:hAnsi="Times New Roman" w:cs="Times New Roman"/>
          <w:sz w:val="24"/>
          <w:szCs w:val="24"/>
        </w:rPr>
      </w:pPr>
      <w:r>
        <w:rPr>
          <w:rFonts w:ascii="Times New Roman" w:hAnsi="Times New Roman" w:cs="Times New Roman"/>
          <w:sz w:val="24"/>
          <w:szCs w:val="24"/>
        </w:rPr>
        <w:t xml:space="preserve">PMS-       </w:t>
      </w:r>
      <w:r>
        <w:rPr>
          <w:rFonts w:ascii="Times New Roman" w:hAnsi="Times New Roman" w:cs="Times New Roman"/>
          <w:sz w:val="24"/>
          <w:szCs w:val="24"/>
        </w:rPr>
        <w:tab/>
      </w:r>
      <w:r>
        <w:rPr>
          <w:rFonts w:ascii="Times New Roman" w:hAnsi="Times New Roman" w:cs="Times New Roman"/>
          <w:sz w:val="24"/>
          <w:szCs w:val="24"/>
        </w:rPr>
        <w:t>Peace Mass Transit Limited</w:t>
      </w:r>
    </w:p>
    <w:p w14:paraId="122D6C5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PPRA-       </w:t>
      </w:r>
      <w:r>
        <w:rPr>
          <w:rFonts w:ascii="Times New Roman" w:hAnsi="Times New Roman" w:cs="Times New Roman"/>
          <w:sz w:val="24"/>
          <w:szCs w:val="24"/>
        </w:rPr>
        <w:tab/>
      </w:r>
      <w:r>
        <w:rPr>
          <w:rFonts w:ascii="Times New Roman" w:hAnsi="Times New Roman" w:cs="Times New Roman"/>
          <w:sz w:val="24"/>
          <w:szCs w:val="24"/>
        </w:rPr>
        <w:t xml:space="preserve">Petroleum Pricing Regulatory Agency </w:t>
      </w:r>
    </w:p>
    <w:p w14:paraId="1ADC7AF4">
      <w:pPr>
        <w:rPr>
          <w:rFonts w:ascii="Times New Roman" w:hAnsi="Times New Roman" w:cs="Times New Roman"/>
          <w:sz w:val="24"/>
          <w:szCs w:val="24"/>
        </w:rPr>
      </w:pPr>
      <w:r>
        <w:rPr>
          <w:rFonts w:ascii="Times New Roman" w:hAnsi="Times New Roman" w:cs="Times New Roman"/>
          <w:sz w:val="24"/>
          <w:szCs w:val="24"/>
        </w:rPr>
        <w:t xml:space="preserve">SEC-         </w:t>
      </w:r>
      <w:r>
        <w:rPr>
          <w:rFonts w:ascii="Times New Roman" w:hAnsi="Times New Roman" w:cs="Times New Roman"/>
          <w:sz w:val="24"/>
          <w:szCs w:val="24"/>
        </w:rPr>
        <w:tab/>
      </w:r>
      <w:r>
        <w:rPr>
          <w:rFonts w:ascii="Times New Roman" w:hAnsi="Times New Roman" w:cs="Times New Roman"/>
          <w:sz w:val="24"/>
          <w:szCs w:val="24"/>
        </w:rPr>
        <w:t xml:space="preserve">Securities and Exchange Commission </w:t>
      </w:r>
    </w:p>
    <w:p w14:paraId="46135C38">
      <w:pPr>
        <w:rPr>
          <w:rFonts w:ascii="Times New Roman" w:hAnsi="Times New Roman" w:cs="Times New Roman"/>
          <w:sz w:val="24"/>
          <w:szCs w:val="24"/>
        </w:rPr>
      </w:pPr>
      <w:r>
        <w:rPr>
          <w:rFonts w:ascii="Times New Roman" w:hAnsi="Times New Roman" w:cs="Times New Roman"/>
          <w:sz w:val="24"/>
          <w:szCs w:val="24"/>
        </w:rPr>
        <w:t xml:space="preserve">SON-       </w:t>
      </w:r>
      <w:r>
        <w:rPr>
          <w:rFonts w:ascii="Times New Roman" w:hAnsi="Times New Roman" w:cs="Times New Roman"/>
          <w:sz w:val="24"/>
          <w:szCs w:val="24"/>
        </w:rPr>
        <w:tab/>
      </w:r>
      <w:r>
        <w:rPr>
          <w:rFonts w:ascii="Times New Roman" w:hAnsi="Times New Roman" w:cs="Times New Roman"/>
          <w:sz w:val="24"/>
          <w:szCs w:val="24"/>
        </w:rPr>
        <w:t xml:space="preserve">Standard Organisation of Nigeria </w:t>
      </w:r>
    </w:p>
    <w:p w14:paraId="0371D6CA">
      <w:pP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UPDF-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United Producers/Distributors Forum </w:t>
      </w:r>
    </w:p>
    <w:p w14:paraId="3E607FFC">
      <w:pPr>
        <w:rPr>
          <w:rFonts w:ascii="Times New Roman" w:hAnsi="Times New Roman" w:cs="Times New Roman"/>
          <w:sz w:val="24"/>
          <w:szCs w:val="24"/>
        </w:rPr>
      </w:pPr>
    </w:p>
    <w:p w14:paraId="7012409F">
      <w:pPr>
        <w:rPr>
          <w:rFonts w:ascii="Times New Roman" w:hAnsi="Times New Roman" w:cs="Times New Roman"/>
          <w:sz w:val="24"/>
          <w:szCs w:val="24"/>
        </w:rPr>
      </w:pPr>
    </w:p>
    <w:p w14:paraId="16CC94CD">
      <w:pPr>
        <w:rPr>
          <w:rFonts w:ascii="Times New Roman" w:hAnsi="Times New Roman" w:cs="Times New Roman"/>
          <w:sz w:val="24"/>
          <w:szCs w:val="24"/>
        </w:rPr>
      </w:pPr>
    </w:p>
    <w:p w14:paraId="677D45D5">
      <w:pPr>
        <w:rPr>
          <w:rFonts w:ascii="Times New Roman" w:hAnsi="Times New Roman" w:cs="Times New Roman"/>
          <w:sz w:val="24"/>
          <w:szCs w:val="24"/>
        </w:rPr>
      </w:pPr>
    </w:p>
    <w:p w14:paraId="7556C14A">
      <w:pPr>
        <w:rPr>
          <w:rFonts w:ascii="Times New Roman" w:hAnsi="Times New Roman" w:cs="Times New Roman"/>
          <w:sz w:val="24"/>
          <w:szCs w:val="24"/>
        </w:rPr>
      </w:pPr>
    </w:p>
    <w:p w14:paraId="3A14107E">
      <w:pPr>
        <w:rPr>
          <w:rFonts w:ascii="Times New Roman" w:hAnsi="Times New Roman" w:cs="Times New Roman"/>
          <w:sz w:val="24"/>
          <w:szCs w:val="24"/>
        </w:rPr>
      </w:pPr>
    </w:p>
    <w:p w14:paraId="226C22B6">
      <w:pPr>
        <w:rPr>
          <w:rFonts w:ascii="Times New Roman" w:hAnsi="Times New Roman" w:cs="Times New Roman"/>
          <w:sz w:val="24"/>
          <w:szCs w:val="24"/>
        </w:rPr>
      </w:pPr>
    </w:p>
    <w:p w14:paraId="38E4246A">
      <w:pPr>
        <w:rPr>
          <w:rFonts w:ascii="Times New Roman" w:hAnsi="Times New Roman" w:cs="Times New Roman"/>
          <w:sz w:val="24"/>
          <w:szCs w:val="24"/>
        </w:rPr>
      </w:pPr>
    </w:p>
    <w:p w14:paraId="7BE2AF73">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ABSTRACT</w:t>
      </w:r>
    </w:p>
    <w:p w14:paraId="742267DD">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The Competition and Consumer Protection Tribunal (CCPT) was set up by an Act of Parliament, the Federal Competition and Consumer Protection Act (FCCPA) 2018. Section 39 of FCCPA gave CCPT the power to adjudicate on matters prohibited by the same Act like:  activities of Monopoly and Abuse of Dominant Positions, Merger and Acquisition of Undertaking</w:t>
      </w:r>
      <w:r>
        <w:rPr>
          <w:rFonts w:ascii="Times New Roman" w:hAnsi="Times New Roman" w:cs="Times New Roman"/>
          <w:b/>
          <w:sz w:val="24"/>
          <w:szCs w:val="24"/>
        </w:rPr>
        <w:t xml:space="preserve">, </w:t>
      </w:r>
      <w:r>
        <w:rPr>
          <w:rFonts w:ascii="Times New Roman" w:hAnsi="Times New Roman" w:cs="Times New Roman"/>
          <w:sz w:val="24"/>
          <w:szCs w:val="24"/>
        </w:rPr>
        <w:t>Price Regulations, hazardous and adulterated products amongst other functions. The Tribunal was set up to deal with poor and slow pace judicial judgment on enforcement of Consumer Rights and Anti-competition practices through the exercise of their binding and appellate jurisdiction over the decisions of the Federal Competitive and Consumer Protection Commission (FCCPC). However, this establishment is not void of challenges, poor funding, scarcity of courtrooms, political interference and other limitations are some of objectives of this study. This study intends to achieve that by applying various jurisprudential theories relating to Competition and Consumer Enforcement Laws and doctrinal research methodology to solve these problems.</w:t>
      </w:r>
    </w:p>
    <w:p w14:paraId="61307D70">
      <w:pPr>
        <w:jc w:val="both"/>
        <w:rPr>
          <w:rFonts w:ascii="Times New Roman" w:hAnsi="Times New Roman" w:cs="Times New Roman"/>
          <w:sz w:val="24"/>
          <w:szCs w:val="24"/>
        </w:rPr>
      </w:pPr>
    </w:p>
    <w:p w14:paraId="48F6D3E4">
      <w:pPr>
        <w:jc w:val="both"/>
        <w:rPr>
          <w:rFonts w:ascii="Times New Roman" w:hAnsi="Times New Roman" w:cs="Times New Roman"/>
          <w:sz w:val="24"/>
          <w:szCs w:val="24"/>
        </w:rPr>
      </w:pPr>
    </w:p>
    <w:p w14:paraId="09AAC69A">
      <w:pPr>
        <w:jc w:val="both"/>
        <w:rPr>
          <w:rFonts w:ascii="Times New Roman" w:hAnsi="Times New Roman" w:cs="Times New Roman"/>
          <w:sz w:val="24"/>
          <w:szCs w:val="24"/>
        </w:rPr>
      </w:pPr>
    </w:p>
    <w:p w14:paraId="49287389">
      <w:pPr>
        <w:jc w:val="both"/>
        <w:rPr>
          <w:rFonts w:ascii="Times New Roman" w:hAnsi="Times New Roman" w:cs="Times New Roman"/>
          <w:sz w:val="24"/>
          <w:szCs w:val="24"/>
        </w:rPr>
      </w:pPr>
    </w:p>
    <w:p w14:paraId="0C160B84">
      <w:pPr>
        <w:jc w:val="both"/>
        <w:rPr>
          <w:rFonts w:ascii="Times New Roman" w:hAnsi="Times New Roman" w:cs="Times New Roman"/>
          <w:sz w:val="24"/>
          <w:szCs w:val="24"/>
        </w:rPr>
      </w:pPr>
    </w:p>
    <w:p w14:paraId="264E2E30">
      <w:pPr>
        <w:jc w:val="both"/>
        <w:rPr>
          <w:rFonts w:ascii="Times New Roman" w:hAnsi="Times New Roman" w:cs="Times New Roman"/>
          <w:sz w:val="24"/>
          <w:szCs w:val="24"/>
        </w:rPr>
      </w:pPr>
    </w:p>
    <w:p w14:paraId="0416A263">
      <w:pPr>
        <w:jc w:val="both"/>
        <w:rPr>
          <w:rFonts w:ascii="Times New Roman" w:hAnsi="Times New Roman" w:cs="Times New Roman"/>
          <w:sz w:val="24"/>
          <w:szCs w:val="24"/>
        </w:rPr>
      </w:pPr>
    </w:p>
    <w:p w14:paraId="5E22DFB0">
      <w:pPr>
        <w:jc w:val="both"/>
        <w:rPr>
          <w:rFonts w:ascii="Times New Roman" w:hAnsi="Times New Roman" w:cs="Times New Roman"/>
          <w:sz w:val="24"/>
          <w:szCs w:val="24"/>
        </w:rPr>
      </w:pPr>
    </w:p>
    <w:p w14:paraId="58CF3EB0">
      <w:pPr>
        <w:jc w:val="both"/>
        <w:rPr>
          <w:rFonts w:ascii="Times New Roman" w:hAnsi="Times New Roman" w:cs="Times New Roman"/>
          <w:sz w:val="24"/>
          <w:szCs w:val="24"/>
        </w:rPr>
      </w:pPr>
    </w:p>
    <w:p w14:paraId="74DAB82F">
      <w:pPr>
        <w:jc w:val="both"/>
        <w:rPr>
          <w:rFonts w:ascii="Times New Roman" w:hAnsi="Times New Roman" w:cs="Times New Roman"/>
          <w:sz w:val="24"/>
          <w:szCs w:val="24"/>
        </w:rPr>
      </w:pPr>
    </w:p>
    <w:p w14:paraId="2E890F55">
      <w:pPr>
        <w:jc w:val="both"/>
        <w:rPr>
          <w:rFonts w:ascii="Times New Roman" w:hAnsi="Times New Roman" w:cs="Times New Roman"/>
          <w:sz w:val="24"/>
          <w:szCs w:val="24"/>
        </w:rPr>
      </w:pPr>
    </w:p>
    <w:p w14:paraId="04E4330E">
      <w:pPr>
        <w:jc w:val="both"/>
        <w:rPr>
          <w:rFonts w:ascii="Times New Roman" w:hAnsi="Times New Roman" w:cs="Times New Roman"/>
          <w:sz w:val="24"/>
          <w:szCs w:val="24"/>
        </w:rPr>
      </w:pPr>
    </w:p>
    <w:p w14:paraId="0BCDF9F1">
      <w:pPr>
        <w:jc w:val="both"/>
        <w:rPr>
          <w:rFonts w:ascii="Times New Roman" w:hAnsi="Times New Roman" w:cs="Times New Roman"/>
          <w:sz w:val="24"/>
          <w:szCs w:val="24"/>
        </w:rPr>
      </w:pPr>
    </w:p>
    <w:p w14:paraId="17819A66">
      <w:pPr>
        <w:jc w:val="both"/>
        <w:rPr>
          <w:rFonts w:ascii="Times New Roman" w:hAnsi="Times New Roman" w:cs="Times New Roman"/>
          <w:sz w:val="24"/>
          <w:szCs w:val="24"/>
        </w:rPr>
      </w:pPr>
    </w:p>
    <w:p w14:paraId="25F71C54">
      <w:pPr>
        <w:jc w:val="both"/>
        <w:rPr>
          <w:rFonts w:ascii="Times New Roman" w:hAnsi="Times New Roman" w:cs="Times New Roman"/>
          <w:sz w:val="24"/>
          <w:szCs w:val="24"/>
        </w:rPr>
      </w:pPr>
    </w:p>
    <w:p w14:paraId="477DB26E">
      <w:pPr>
        <w:spacing w:line="480" w:lineRule="auto"/>
        <w:jc w:val="left"/>
        <w:rPr>
          <w:rFonts w:ascii="Times New Roman" w:hAnsi="Times New Roman" w:cs="Times New Roman"/>
          <w:b/>
          <w:sz w:val="24"/>
          <w:szCs w:val="24"/>
        </w:rPr>
      </w:pPr>
    </w:p>
    <w:p w14:paraId="741D7AF5">
      <w:pPr>
        <w:spacing w:line="480" w:lineRule="auto"/>
        <w:ind w:left="2160" w:hanging="2160"/>
        <w:jc w:val="center"/>
        <w:rPr>
          <w:rFonts w:ascii="Times New Roman" w:hAnsi="Times New Roman" w:cs="Times New Roman"/>
          <w:b/>
          <w:sz w:val="24"/>
          <w:szCs w:val="24"/>
        </w:rPr>
      </w:pPr>
      <w:r>
        <w:rPr>
          <w:rFonts w:ascii="Times New Roman" w:hAnsi="Times New Roman" w:cs="Times New Roman"/>
          <w:b/>
          <w:sz w:val="24"/>
          <w:szCs w:val="24"/>
        </w:rPr>
        <w:t>CHAPTER</w:t>
      </w:r>
      <w:r>
        <w:rPr>
          <w:rFonts w:ascii="Times New Roman" w:hAnsi="Times New Roman" w:cs="Times New Roman"/>
          <w:sz w:val="24"/>
          <w:szCs w:val="24"/>
        </w:rPr>
        <w:t xml:space="preserve"> </w:t>
      </w:r>
      <w:r>
        <w:rPr>
          <w:rFonts w:ascii="Times New Roman" w:hAnsi="Times New Roman" w:cs="Times New Roman"/>
          <w:b/>
          <w:sz w:val="24"/>
          <w:szCs w:val="24"/>
          <w:lang w:val="en-GB"/>
        </w:rPr>
        <w:t>ONE</w:t>
      </w:r>
    </w:p>
    <w:p w14:paraId="769C33A5">
      <w:pPr>
        <w:spacing w:line="480" w:lineRule="auto"/>
        <w:jc w:val="center"/>
        <w:rPr>
          <w:rFonts w:ascii="Times New Roman" w:hAnsi="Times New Roman" w:cs="Times New Roman"/>
          <w:b/>
          <w:sz w:val="24"/>
          <w:szCs w:val="24"/>
        </w:rPr>
      </w:pPr>
      <w:r>
        <w:rPr>
          <w:rFonts w:ascii="Times New Roman" w:hAnsi="Times New Roman" w:cs="Times New Roman"/>
          <w:b/>
          <w:sz w:val="24"/>
          <w:szCs w:val="24"/>
        </w:rPr>
        <w:t>INTRODUCTION</w:t>
      </w:r>
    </w:p>
    <w:p w14:paraId="0F695B49">
      <w:pPr>
        <w:spacing w:line="480" w:lineRule="auto"/>
        <w:jc w:val="both"/>
        <w:rPr>
          <w:rFonts w:ascii="Times New Roman" w:hAnsi="Times New Roman" w:cs="Times New Roman"/>
          <w:b/>
          <w:sz w:val="24"/>
          <w:szCs w:val="24"/>
        </w:rPr>
      </w:pPr>
      <w:r>
        <w:rPr>
          <w:rFonts w:ascii="Times New Roman" w:hAnsi="Times New Roman" w:cs="Times New Roman"/>
          <w:b/>
          <w:sz w:val="24"/>
          <w:szCs w:val="24"/>
        </w:rPr>
        <w:t>1.1 Background to the Study</w:t>
      </w:r>
    </w:p>
    <w:p w14:paraId="58BD844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Competition law is a field of law that seeks to maintain competition in all markets by guarding against anti-competitive conduct by companies. It allows for the investigation, control and evaluation of restrictive practices, abuse of dominant positions, and mergers. </w:t>
      </w:r>
      <w:r>
        <w:rPr>
          <w:rFonts w:hint="default" w:ascii="Times New Roman" w:hAnsi="Times New Roman" w:cs="Times New Roman"/>
          <w:sz w:val="24"/>
          <w:szCs w:val="24"/>
          <w:lang w:val="en-US"/>
        </w:rPr>
        <w:t xml:space="preserve"> </w:t>
      </w:r>
      <w:r>
        <w:rPr>
          <w:rFonts w:ascii="Times New Roman" w:hAnsi="Times New Roman" w:cs="Times New Roman"/>
          <w:sz w:val="24"/>
          <w:szCs w:val="24"/>
        </w:rPr>
        <w:t>Competition law is not only focused on competition issues – it includes public interest and social issues such as the promotion of small businesses, the interests of employees and black economic empowerment.</w:t>
      </w:r>
      <w:r>
        <w:rPr>
          <w:rStyle w:val="7"/>
          <w:rFonts w:ascii="Times New Roman" w:hAnsi="Times New Roman" w:cs="Times New Roman"/>
          <w:sz w:val="24"/>
          <w:szCs w:val="24"/>
        </w:rPr>
        <w:footnoteReference w:id="0"/>
      </w:r>
      <w:r>
        <w:rPr>
          <w:rFonts w:ascii="Times New Roman" w:hAnsi="Times New Roman" w:cs="Times New Roman"/>
          <w:sz w:val="24"/>
          <w:szCs w:val="24"/>
        </w:rPr>
        <w:t xml:space="preserve"> Competition laws in Nigeria are made to promote healthy competition in Nigerian markets at all levels, by eliminating monopolies, prohibiting the abuse of a dominant market position and penalising other restrictive trade and business practices.</w:t>
      </w:r>
      <w:r>
        <w:rPr>
          <w:rStyle w:val="7"/>
          <w:rFonts w:ascii="Times New Roman" w:hAnsi="Times New Roman" w:cs="Times New Roman"/>
          <w:sz w:val="24"/>
          <w:szCs w:val="24"/>
        </w:rPr>
        <w:footnoteReference w:id="1"/>
      </w:r>
      <w:r>
        <w:rPr>
          <w:rFonts w:ascii="Times New Roman" w:hAnsi="Times New Roman" w:cs="Times New Roman"/>
          <w:sz w:val="24"/>
          <w:szCs w:val="24"/>
        </w:rPr>
        <w:t xml:space="preserve"> The Federal Competition and Consumer Protection Act, 2018,</w:t>
      </w:r>
      <w:r>
        <w:rPr>
          <w:rStyle w:val="7"/>
          <w:rFonts w:ascii="Times New Roman" w:hAnsi="Times New Roman" w:cs="Times New Roman"/>
          <w:sz w:val="24"/>
          <w:szCs w:val="24"/>
        </w:rPr>
        <w:footnoteReference w:id="2"/>
      </w:r>
      <w:r>
        <w:rPr>
          <w:rFonts w:ascii="Times New Roman" w:hAnsi="Times New Roman" w:cs="Times New Roman"/>
          <w:sz w:val="24"/>
          <w:szCs w:val="24"/>
        </w:rPr>
        <w:t xml:space="preserve"> defines a consumer as “including any person who purchases or offers to purchase goods otherwise than for the purpose of resale but does not include a person who purchases any goods for the purpose of using them in the production or manufacture of any other goods or articles for sale or to whom a service is rendered.” </w:t>
      </w:r>
      <w:r>
        <w:rPr>
          <w:rStyle w:val="7"/>
          <w:rFonts w:ascii="Times New Roman" w:hAnsi="Times New Roman" w:cs="Times New Roman"/>
          <w:sz w:val="24"/>
          <w:szCs w:val="24"/>
        </w:rPr>
        <w:footnoteReference w:id="3"/>
      </w:r>
    </w:p>
    <w:p w14:paraId="67304551">
      <w:pPr>
        <w:spacing w:line="480" w:lineRule="auto"/>
        <w:jc w:val="both"/>
        <w:rPr>
          <w:rFonts w:ascii="Times New Roman" w:hAnsi="Times New Roman" w:cs="Times New Roman"/>
          <w:sz w:val="24"/>
          <w:szCs w:val="24"/>
        </w:rPr>
      </w:pPr>
      <w:r>
        <w:rPr>
          <w:rFonts w:ascii="Times New Roman" w:hAnsi="Times New Roman" w:cs="Times New Roman"/>
          <w:sz w:val="24"/>
          <w:szCs w:val="24"/>
        </w:rPr>
        <w:t>Before 2018, Nigeria did not have a body of laws or a single law that encompasses Competition law; a competition regime is still operated by virtue of various legislations. For instance, the following legislations provided for regulating competition in the various sectors:</w:t>
      </w:r>
      <w:r>
        <w:rPr>
          <w:rFonts w:ascii="Times New Roman" w:hAnsi="Times New Roman" w:cs="Times New Roman"/>
          <w:sz w:val="24"/>
          <w:szCs w:val="24"/>
        </w:rPr>
        <w:cr/>
      </w:r>
      <w:r>
        <w:rPr>
          <w:rFonts w:ascii="Times New Roman" w:hAnsi="Times New Roman" w:cs="Times New Roman"/>
          <w:sz w:val="24"/>
          <w:szCs w:val="24"/>
        </w:rPr>
        <w:t xml:space="preserve"> Nigerian Communications Act, 2003, promotes fair competition in the Telecommunications Industry and enforcement of non-compliance with competition laws or regulations in the Industry.</w:t>
      </w:r>
      <w:r>
        <w:rPr>
          <w:rStyle w:val="7"/>
          <w:rFonts w:ascii="Times New Roman" w:hAnsi="Times New Roman" w:cs="Times New Roman"/>
          <w:sz w:val="24"/>
          <w:szCs w:val="24"/>
        </w:rPr>
        <w:footnoteReference w:id="4"/>
      </w:r>
      <w:r>
        <w:rPr>
          <w:rFonts w:ascii="Times New Roman" w:hAnsi="Times New Roman" w:cs="Times New Roman"/>
          <w:sz w:val="24"/>
          <w:szCs w:val="24"/>
        </w:rPr>
        <w:cr/>
      </w:r>
      <w:r>
        <w:rPr>
          <w:rFonts w:ascii="Times New Roman" w:hAnsi="Times New Roman" w:cs="Times New Roman"/>
          <w:sz w:val="24"/>
          <w:szCs w:val="24"/>
        </w:rPr>
        <w:t>Nigerian Electricity Regulatory Commission (NERC) has power under the Electricity Power Sector Reform Act, 2005 to prevent the abuse of market power within the sector.</w:t>
      </w:r>
      <w:r>
        <w:rPr>
          <w:rStyle w:val="7"/>
          <w:rFonts w:ascii="Times New Roman" w:hAnsi="Times New Roman" w:cs="Times New Roman"/>
          <w:sz w:val="24"/>
          <w:szCs w:val="24"/>
        </w:rPr>
        <w:footnoteReference w:id="5"/>
      </w:r>
      <w:r>
        <w:rPr>
          <w:rFonts w:ascii="Times New Roman" w:hAnsi="Times New Roman" w:cs="Times New Roman"/>
          <w:sz w:val="24"/>
          <w:szCs w:val="24"/>
        </w:rPr>
        <w:t xml:space="preserve">  Also, mergers or acquisitions in this sector must receive NERC approval. </w:t>
      </w:r>
      <w:r>
        <w:rPr>
          <w:rFonts w:ascii="Times New Roman" w:hAnsi="Times New Roman" w:cs="Times New Roman"/>
          <w:sz w:val="24"/>
          <w:szCs w:val="24"/>
        </w:rPr>
        <w:cr/>
      </w:r>
      <w:r>
        <w:rPr>
          <w:rFonts w:ascii="Times New Roman" w:hAnsi="Times New Roman" w:cs="Times New Roman"/>
          <w:sz w:val="24"/>
          <w:szCs w:val="24"/>
        </w:rPr>
        <w:t xml:space="preserve">In the Aviation sector, the Nigerian Civil Aviation Authority (NCAA) established under the Civil Aviation Act 2006 has the power to investigate unfair methods of competition and make regulations to discourage anti-competitive practices in the sector. In the past, the Ministry of Aviation through the NCAA waded into alleged anti-competitive actions of British Airways (BA) and Virgin Atlantic who were accused of dominance on the Lagos- London route through fixing prices, abusing fuel surcharges and generally taking advantage of passengers. It resulted in a good slot being given to a Nigerian carrier which had earlier been denied of same. </w:t>
      </w:r>
    </w:p>
    <w:p w14:paraId="13128BE3">
      <w:pPr>
        <w:spacing w:line="480" w:lineRule="auto"/>
        <w:jc w:val="both"/>
        <w:rPr>
          <w:rFonts w:ascii="Times New Roman" w:hAnsi="Times New Roman" w:cs="Times New Roman"/>
          <w:sz w:val="24"/>
          <w:szCs w:val="24"/>
        </w:rPr>
      </w:pPr>
      <w:r>
        <w:rPr>
          <w:rFonts w:ascii="Times New Roman" w:hAnsi="Times New Roman" w:cs="Times New Roman"/>
          <w:sz w:val="24"/>
          <w:szCs w:val="24"/>
        </w:rPr>
        <w:t>The Securities and Exchange Commission (SEC) under the Investment and Securities Act, 2007</w:t>
      </w:r>
      <w:r>
        <w:rPr>
          <w:rStyle w:val="7"/>
          <w:rFonts w:ascii="Times New Roman" w:hAnsi="Times New Roman" w:cs="Times New Roman"/>
          <w:sz w:val="24"/>
          <w:szCs w:val="24"/>
        </w:rPr>
        <w:footnoteReference w:id="6"/>
      </w:r>
      <w:r>
        <w:rPr>
          <w:rFonts w:ascii="Times New Roman" w:hAnsi="Times New Roman" w:cs="Times New Roman"/>
          <w:sz w:val="24"/>
          <w:szCs w:val="24"/>
        </w:rPr>
        <w:t xml:space="preserve"> regulates mergers to ensure they do not restrict competition. SEC can order the breakup of a company where it determines that the business practices of that company substantially lessens competition. Mergers and Acquisitions must receive the approval of SEC which would only be given if SEC finds that it is not likely to cause a monopoly, limit or control production, markets, technical development or investment. The foregoing are in addition to many other sectors that provided for completion regulations.</w:t>
      </w:r>
      <w:r>
        <w:rPr>
          <w:rStyle w:val="7"/>
          <w:rFonts w:ascii="Times New Roman" w:hAnsi="Times New Roman" w:cs="Times New Roman"/>
          <w:sz w:val="24"/>
          <w:szCs w:val="24"/>
        </w:rPr>
        <w:footnoteReference w:id="7"/>
      </w:r>
    </w:p>
    <w:p w14:paraId="4CD19588">
      <w:pPr>
        <w:spacing w:line="480" w:lineRule="auto"/>
        <w:jc w:val="both"/>
        <w:rPr>
          <w:rFonts w:ascii="Times New Roman" w:hAnsi="Times New Roman" w:cs="Times New Roman"/>
          <w:sz w:val="24"/>
          <w:szCs w:val="24"/>
        </w:rPr>
      </w:pPr>
      <w:r>
        <w:rPr>
          <w:rFonts w:ascii="Times New Roman" w:hAnsi="Times New Roman" w:cs="Times New Roman"/>
          <w:sz w:val="24"/>
          <w:szCs w:val="24"/>
        </w:rPr>
        <w:t>The provisions mentioned above are however not sufficient to cover all aspects of monopoly activities and have not proved their powers yet over fight against anti-competition practices in Nigeria.  Also, those regulations mentioned above are utilised by regulatory bodies on the supply side of the national economy and less of the consumers. Accordingly, the interest of the consumers is very unlikely to be the guiding principle.</w:t>
      </w:r>
    </w:p>
    <w:p w14:paraId="0500E83F">
      <w:pPr>
        <w:spacing w:line="480" w:lineRule="auto"/>
        <w:jc w:val="both"/>
        <w:rPr>
          <w:rFonts w:ascii="Times New Roman" w:hAnsi="Times New Roman" w:cs="Times New Roman"/>
          <w:sz w:val="24"/>
          <w:szCs w:val="24"/>
        </w:rPr>
      </w:pPr>
      <w:r>
        <w:rPr>
          <w:rFonts w:ascii="Times New Roman" w:hAnsi="Times New Roman" w:cs="Times New Roman"/>
          <w:sz w:val="24"/>
          <w:szCs w:val="24"/>
        </w:rPr>
        <w:t>The disjointed approach to competition regime however, cannot serve the needed purpose. There is a need to complement government’s deregulation and privatisation policy with an effective and robust competition law. It becomes imperative that Competition Law be introduced holistically as a statute together with consumer protection law within the shortest possible time, hence, the emergence of the FCCPA.</w:t>
      </w:r>
    </w:p>
    <w:p w14:paraId="038F80EB">
      <w:pPr>
        <w:spacing w:line="480" w:lineRule="auto"/>
        <w:jc w:val="both"/>
        <w:rPr>
          <w:rFonts w:ascii="Times New Roman" w:hAnsi="Times New Roman" w:cs="Times New Roman"/>
          <w:sz w:val="24"/>
          <w:szCs w:val="24"/>
        </w:rPr>
      </w:pPr>
      <w:r>
        <w:rPr>
          <w:rFonts w:ascii="Times New Roman" w:hAnsi="Times New Roman" w:cs="Times New Roman"/>
          <w:sz w:val="24"/>
          <w:szCs w:val="24"/>
        </w:rPr>
        <w:t>The FCCPA is an answer to a plethora of advocacies from Nigerian to have a comprehensive competition legal framework to protect consumers and ensure a fair and competitive market within the Nigerian economy. The Act repealed the Consumer Protection Council Act,</w:t>
      </w:r>
      <w:r>
        <w:rPr>
          <w:rStyle w:val="7"/>
          <w:rFonts w:ascii="Times New Roman" w:hAnsi="Times New Roman" w:cs="Times New Roman"/>
          <w:sz w:val="24"/>
          <w:szCs w:val="24"/>
        </w:rPr>
        <w:footnoteReference w:id="8"/>
      </w:r>
      <w:r>
        <w:rPr>
          <w:rFonts w:ascii="Times New Roman" w:hAnsi="Times New Roman" w:cs="Times New Roman"/>
          <w:sz w:val="24"/>
          <w:szCs w:val="24"/>
        </w:rPr>
        <w:t xml:space="preserve"> and enshrined all the provisions of consumer protection laws into its sections as well some sections of  regulations of specific sectors of the Nigeria economy, became a comprehensive and handy law with powers and jurisdiction above any sector in Nigeria.</w:t>
      </w:r>
    </w:p>
    <w:p w14:paraId="72A508DE">
      <w:pPr>
        <w:spacing w:line="480" w:lineRule="auto"/>
        <w:jc w:val="both"/>
        <w:rPr>
          <w:rStyle w:val="14"/>
          <w:rFonts w:ascii="Times New Roman" w:hAnsi="Times New Roman" w:cs="Times New Roman"/>
          <w:sz w:val="24"/>
          <w:szCs w:val="24"/>
        </w:rPr>
      </w:pPr>
      <w:r>
        <w:rPr>
          <w:rStyle w:val="14"/>
          <w:rFonts w:ascii="Times New Roman" w:hAnsi="Times New Roman" w:cs="Times New Roman"/>
          <w:sz w:val="24"/>
          <w:szCs w:val="24"/>
        </w:rPr>
        <w:t>The FCCPA removed “no refund of money after payment” policy, and introduced so many new sections on consumer protection. FCCPA establishes the Federal Competition and Consumer Protection Commission</w:t>
      </w:r>
      <w:r>
        <w:rPr>
          <w:rStyle w:val="7"/>
          <w:rFonts w:ascii="Times New Roman" w:hAnsi="Times New Roman" w:cs="Times New Roman"/>
          <w:sz w:val="24"/>
          <w:szCs w:val="24"/>
        </w:rPr>
        <w:footnoteReference w:id="9"/>
      </w:r>
      <w:r>
        <w:rPr>
          <w:rStyle w:val="14"/>
          <w:rFonts w:ascii="Times New Roman" w:hAnsi="Times New Roman" w:cs="Times New Roman"/>
          <w:sz w:val="24"/>
          <w:szCs w:val="24"/>
        </w:rPr>
        <w:t xml:space="preserve"> as independent body with perpetual succession and the Competition and Consumer Protection Tribunal.</w:t>
      </w:r>
      <w:r>
        <w:rPr>
          <w:rStyle w:val="7"/>
          <w:rFonts w:ascii="Times New Roman" w:hAnsi="Times New Roman" w:cs="Times New Roman"/>
          <w:sz w:val="24"/>
          <w:szCs w:val="24"/>
        </w:rPr>
        <w:footnoteReference w:id="10"/>
      </w:r>
    </w:p>
    <w:p w14:paraId="1CD66679">
      <w:pPr>
        <w:spacing w:line="480" w:lineRule="auto"/>
        <w:jc w:val="both"/>
        <w:rPr>
          <w:rFonts w:ascii="Times New Roman" w:hAnsi="Times New Roman" w:cs="Times New Roman"/>
          <w:sz w:val="24"/>
          <w:szCs w:val="24"/>
        </w:rPr>
      </w:pPr>
      <w:r>
        <w:rPr>
          <w:rStyle w:val="14"/>
          <w:rFonts w:ascii="Times New Roman" w:hAnsi="Times New Roman" w:cs="Times New Roman"/>
          <w:sz w:val="24"/>
          <w:szCs w:val="24"/>
        </w:rPr>
        <w:t xml:space="preserve">The introduction of the Tribunal as an appellate body in enforcement of consumer rights have various powers including: power to receive appeal from the Commission, adjudicate on them, issue decisions, awards or penalties.  The Tribunal equally </w:t>
      </w:r>
      <w:r>
        <w:rPr>
          <w:rStyle w:val="14"/>
          <w:rFonts w:ascii="Times New Roman" w:hAnsi="Times New Roman" w:cs="Times New Roman"/>
          <w:bCs/>
          <w:sz w:val="24"/>
          <w:szCs w:val="24"/>
        </w:rPr>
        <w:t>sought to protect manufacturers, proprietors, owners of trademarks against counterfeiting and infringement etc</w:t>
      </w:r>
      <w:r>
        <w:rPr>
          <w:rStyle w:val="14"/>
          <w:rFonts w:ascii="Times New Roman" w:hAnsi="Times New Roman" w:cs="Times New Roman"/>
          <w:sz w:val="24"/>
          <w:szCs w:val="24"/>
        </w:rPr>
        <w:t>.</w:t>
      </w:r>
    </w:p>
    <w:p w14:paraId="7591AE50">
      <w:pPr>
        <w:pStyle w:val="11"/>
        <w:spacing w:line="480" w:lineRule="auto"/>
        <w:jc w:val="both"/>
        <w:rPr>
          <w:b/>
        </w:rPr>
      </w:pPr>
      <w:r>
        <w:rPr>
          <w:b/>
        </w:rPr>
        <w:t xml:space="preserve">1.2 Statement of Problems </w:t>
      </w:r>
    </w:p>
    <w:p w14:paraId="4C747E21">
      <w:pPr>
        <w:pStyle w:val="11"/>
        <w:spacing w:before="240" w:line="480" w:lineRule="auto"/>
        <w:jc w:val="both"/>
      </w:pPr>
      <w:r>
        <w:t>Notwithstanding the prevailing Consumer Protection Acts, and various entities such as the Standard Organisation of Nigeria (SON), the National Agency for Food and Drug Administration and Control (NAFDAC), the Manufacturers Association of Nigeria (MAN) etc, established by statutes, large segment of consumers are still suffering dissatisfaction.</w:t>
      </w:r>
    </w:p>
    <w:p w14:paraId="52112820">
      <w:pPr>
        <w:pStyle w:val="11"/>
        <w:spacing w:line="480" w:lineRule="auto"/>
        <w:jc w:val="both"/>
      </w:pPr>
      <w:r>
        <w:t>Many sellers and producers in Nigeria whose utmost faith in business is profit maximization at all cost indulge in selling of adulterated or fake and dangerous products and services not minding the effects it has on consumers.</w:t>
      </w:r>
      <w:r>
        <w:rPr>
          <w:rStyle w:val="7"/>
        </w:rPr>
        <w:footnoteReference w:id="11"/>
      </w:r>
      <w:r>
        <w:t xml:space="preserve"> Yet, some others engage in some acts targeted at monopolising a sector and selling at exorbitant prices without fear of competitors or effect of outrageous cost on final consumers.</w:t>
      </w:r>
      <w:r>
        <w:rPr>
          <w:rStyle w:val="7"/>
        </w:rPr>
        <w:footnoteReference w:id="12"/>
      </w:r>
    </w:p>
    <w:p w14:paraId="769E627A">
      <w:pPr>
        <w:pStyle w:val="11"/>
        <w:spacing w:line="480" w:lineRule="auto"/>
        <w:jc w:val="both"/>
      </w:pPr>
      <w:r>
        <w:t xml:space="preserve">Some of this incidence has been reported in the case of </w:t>
      </w:r>
      <w:r>
        <w:rPr>
          <w:i/>
        </w:rPr>
        <w:t>Nigerian Bottling Co Ltd v Ngonadi</w:t>
      </w:r>
      <w:r>
        <w:t>,</w:t>
      </w:r>
      <w:r>
        <w:rPr>
          <w:rStyle w:val="7"/>
        </w:rPr>
        <w:footnoteReference w:id="13"/>
      </w:r>
      <w:r>
        <w:t xml:space="preserve"> where the plaintiff bought a refrigerator which lasted only a few days, developed fault and exploded after one month causing the plaintiff serious bodily injuries. Similarly, in </w:t>
      </w:r>
      <w:r>
        <w:rPr>
          <w:i/>
        </w:rPr>
        <w:t>Okwejimonor</w:t>
      </w:r>
      <w:r>
        <w:t xml:space="preserve"> </w:t>
      </w:r>
      <w:r>
        <w:rPr>
          <w:i/>
        </w:rPr>
        <w:t>v G. Gbakeji and NBC</w:t>
      </w:r>
      <w:r>
        <w:t>,</w:t>
      </w:r>
      <w:r>
        <w:rPr>
          <w:rStyle w:val="7"/>
        </w:rPr>
        <w:footnoteReference w:id="14"/>
      </w:r>
      <w:r>
        <w:t xml:space="preserve"> the plaintiff bought a Fanta drink containing a cockroach and a germ which caused her stomach ache, vomiting, stooling and hospitalisation.</w:t>
      </w:r>
      <w:r>
        <w:rPr>
          <w:rStyle w:val="7"/>
        </w:rPr>
        <w:footnoteReference w:id="15"/>
      </w:r>
    </w:p>
    <w:p w14:paraId="0E2E84D3">
      <w:pPr>
        <w:pStyle w:val="11"/>
        <w:spacing w:line="480" w:lineRule="auto"/>
        <w:jc w:val="both"/>
      </w:pPr>
      <w:r>
        <w:t>The NAFDAC, on 19th May 2023, sealed a facility of imported contraband tomato paste distribution warehouse in Rivers state.</w:t>
      </w:r>
      <w:r>
        <w:rPr>
          <w:rStyle w:val="7"/>
        </w:rPr>
        <w:footnoteReference w:id="16"/>
      </w:r>
      <w:r>
        <w:t xml:space="preserve"> Also, on 15th September 2023, The NAFDAC equally arrested a syndicate that specialises in importing banned Crusader soaps containing mercury into the country.</w:t>
      </w:r>
    </w:p>
    <w:p w14:paraId="4B6D26D1">
      <w:pPr>
        <w:spacing w:line="480" w:lineRule="auto"/>
        <w:jc w:val="both"/>
        <w:rPr>
          <w:rFonts w:ascii="Times New Roman" w:hAnsi="Times New Roman" w:eastAsia="Times New Roman" w:cs="Times New Roman"/>
          <w:color w:val="000000"/>
          <w:sz w:val="24"/>
          <w:szCs w:val="24"/>
        </w:rPr>
      </w:pPr>
      <w:r>
        <w:rPr>
          <w:rFonts w:ascii="Times New Roman" w:hAnsi="Times New Roman" w:cs="Times New Roman"/>
          <w:bCs/>
          <w:color w:val="000000"/>
          <w:sz w:val="24"/>
          <w:szCs w:val="24"/>
        </w:rPr>
        <w:t>Monopolies, Merger Activities, and Abuse of Dominant Position are some of those problems which this study intends to proffer a solution</w:t>
      </w:r>
      <w:r>
        <w:rPr>
          <w:rFonts w:ascii="Times New Roman" w:hAnsi="Times New Roman" w:cs="Times New Roman"/>
          <w:b/>
          <w:bCs/>
          <w:color w:val="000000"/>
          <w:sz w:val="24"/>
          <w:szCs w:val="24"/>
        </w:rPr>
        <w:t xml:space="preserve">. </w:t>
      </w:r>
      <w:r>
        <w:rPr>
          <w:rFonts w:ascii="Times New Roman" w:hAnsi="Times New Roman" w:eastAsia="Times New Roman" w:cs="Times New Roman"/>
          <w:color w:val="000000"/>
          <w:sz w:val="24"/>
          <w:szCs w:val="24"/>
        </w:rPr>
        <w:t>It is alleged that one or two businesses fix cement prices in Nigeria. In the past, the dominant market operator in the cement industry, Dangote Cements, threatened to close down one of its plants if the government did not stop a competitor (Ibeto Group) from importing cement into the country because, according to Dangote, the market was saturated.</w:t>
      </w:r>
      <w:r>
        <w:rPr>
          <w:rFonts w:ascii="Times New Roman" w:hAnsi="Times New Roman" w:eastAsia="Times New Roman" w:cs="Times New Roman"/>
          <w:sz w:val="24"/>
          <w:szCs w:val="24"/>
        </w:rPr>
        <w:t xml:space="preserve"> This study however, is on the view that</w:t>
      </w:r>
      <w:r>
        <w:rPr>
          <w:rFonts w:ascii="Times New Roman" w:hAnsi="Times New Roman" w:cs="Times New Roman"/>
          <w:color w:val="000000"/>
          <w:sz w:val="24"/>
          <w:szCs w:val="24"/>
        </w:rPr>
        <w:t xml:space="preserve"> market where there is competition; saturation would lead to a reduction in price.</w:t>
      </w:r>
    </w:p>
    <w:p w14:paraId="53E42E2F">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The Bureau of Public Enterprises (BPE) revealed that for the sale of the oil refinery in Kaduna and Port Harcourt, a company called Blue Star won the competitive bidding. However, Blue Star was a syndicate made up of two companies (Dangote and Otedola) and River State government, revealing that the transaction itself had signs of collusion and price fixing. Furthermore, the two companies were competitors who came together to make a bid, and as such removing any other strong competition. </w:t>
      </w:r>
    </w:p>
    <w:p w14:paraId="7ED9038A">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These problems and more are the bedrock of this study which it tends to tackle. </w:t>
      </w:r>
    </w:p>
    <w:p w14:paraId="6EB12AF8">
      <w:pPr>
        <w:spacing w:after="0" w:line="480" w:lineRule="auto"/>
        <w:jc w:val="both"/>
        <w:rPr>
          <w:rFonts w:ascii="Times New Roman" w:hAnsi="Times New Roman" w:eastAsia="Times New Roman" w:cs="Times New Roman"/>
          <w:color w:val="000000"/>
          <w:sz w:val="24"/>
          <w:szCs w:val="24"/>
        </w:rPr>
      </w:pPr>
    </w:p>
    <w:p w14:paraId="1417A5D2">
      <w:pPr>
        <w:spacing w:line="480" w:lineRule="auto"/>
        <w:jc w:val="both"/>
        <w:rPr>
          <w:rFonts w:ascii="Times New Roman" w:hAnsi="Times New Roman" w:cs="Times New Roman"/>
          <w:b/>
          <w:sz w:val="24"/>
          <w:szCs w:val="24"/>
        </w:rPr>
      </w:pPr>
      <w:r>
        <w:rPr>
          <w:rFonts w:ascii="Times New Roman" w:hAnsi="Times New Roman" w:cs="Times New Roman"/>
          <w:b/>
          <w:sz w:val="24"/>
          <w:szCs w:val="24"/>
        </w:rPr>
        <w:t>1.3 Aim and Objectives of the Study</w:t>
      </w:r>
    </w:p>
    <w:p w14:paraId="21335D6C">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main objective of this study is to educate consumers and manufactures on the establishment of the Tribunal. This research aims at educating Nigerians on their right to enforce their consumer rights in case of any breach through the Tribunal. On the cases of anti-competition practices, this study reveals the various provisions of the FCCPA to tackling them and ensuring protections of manufactures, service providers and consumers. </w:t>
      </w:r>
    </w:p>
    <w:p w14:paraId="279D6397">
      <w:pPr>
        <w:spacing w:line="480" w:lineRule="auto"/>
        <w:jc w:val="both"/>
        <w:rPr>
          <w:rFonts w:ascii="Times New Roman" w:hAnsi="Times New Roman" w:cs="Times New Roman"/>
          <w:b/>
          <w:sz w:val="24"/>
          <w:szCs w:val="24"/>
        </w:rPr>
      </w:pPr>
      <w:r>
        <w:rPr>
          <w:rFonts w:ascii="Times New Roman" w:hAnsi="Times New Roman" w:cs="Times New Roman"/>
          <w:sz w:val="24"/>
          <w:szCs w:val="24"/>
        </w:rPr>
        <w:t>The study through analysing the establishment of the Tribunal aim for the development and promotion of fair, efficient and competitive markets in the Nigerian economy and to facilitate access by all citizens to safe products and secure the rights for all consumers in Nigeria; and for related matters</w:t>
      </w:r>
      <w:r>
        <w:rPr>
          <w:rStyle w:val="7"/>
          <w:rFonts w:ascii="Times New Roman" w:hAnsi="Times New Roman" w:cs="Times New Roman"/>
          <w:sz w:val="24"/>
          <w:szCs w:val="24"/>
        </w:rPr>
        <w:footnoteReference w:id="17"/>
      </w:r>
      <w:r>
        <w:rPr>
          <w:rFonts w:ascii="Times New Roman" w:hAnsi="Times New Roman" w:cs="Times New Roman"/>
          <w:sz w:val="24"/>
          <w:szCs w:val="24"/>
        </w:rPr>
        <w:t xml:space="preserve"> and equally providing smooth way of enforcing those rights. </w:t>
      </w:r>
    </w:p>
    <w:p w14:paraId="112A7A88">
      <w:pPr>
        <w:pStyle w:val="11"/>
        <w:spacing w:line="480" w:lineRule="auto"/>
        <w:jc w:val="both"/>
      </w:pPr>
      <w:r>
        <w:t>This study aim to overview the establishment of the Tribunal as provided for in Part VIII of the FCCPA. The following are the objectives of the Tribunal:</w:t>
      </w:r>
    </w:p>
    <w:p w14:paraId="725F0072">
      <w:pPr>
        <w:pStyle w:val="11"/>
        <w:numPr>
          <w:ilvl w:val="0"/>
          <w:numId w:val="1"/>
        </w:numPr>
        <w:spacing w:line="480" w:lineRule="auto"/>
        <w:jc w:val="both"/>
      </w:pPr>
      <w:r>
        <w:t>Avoidance of restrictive agreements: a restrictive agreement or contractual restraint is only prohibited under Section 59(1) of the FCCPA if the agreement or contract has the purpose or effect of being in restriction competition. “Restriction of competition” shall be used as shorthand for preventing, restricting and distorting competition.</w:t>
      </w:r>
      <w:r>
        <w:rPr>
          <w:rStyle w:val="7"/>
        </w:rPr>
        <w:footnoteReference w:id="18"/>
      </w:r>
    </w:p>
    <w:p w14:paraId="23DE68E9">
      <w:pPr>
        <w:pStyle w:val="11"/>
        <w:numPr>
          <w:ilvl w:val="0"/>
          <w:numId w:val="1"/>
        </w:numPr>
        <w:spacing w:line="480" w:lineRule="auto"/>
        <w:jc w:val="both"/>
      </w:pPr>
      <w:r>
        <w:t>Prohibition of Abuse of Dominant Position: The mere exercise of market power is not prohibited in The FCCPA; rather it is the exercise of such market power in an abusive manner that is prohibited. In this regard, section 72(2) of the FCCPA describes situations in which one or more undertakings with market power are deemed to have abused their market power. These situations include:</w:t>
      </w:r>
    </w:p>
    <w:p w14:paraId="520B33CE">
      <w:pPr>
        <w:pStyle w:val="11"/>
        <w:numPr>
          <w:ilvl w:val="0"/>
          <w:numId w:val="2"/>
        </w:numPr>
        <w:spacing w:line="480" w:lineRule="auto"/>
        <w:jc w:val="both"/>
      </w:pPr>
      <w:r>
        <w:t>charging excessive price to the detriment of consumers; and</w:t>
      </w:r>
    </w:p>
    <w:p w14:paraId="42DCD92E">
      <w:pPr>
        <w:pStyle w:val="11"/>
        <w:numPr>
          <w:ilvl w:val="0"/>
          <w:numId w:val="2"/>
        </w:numPr>
        <w:spacing w:line="480" w:lineRule="auto"/>
        <w:jc w:val="both"/>
      </w:pPr>
      <w:r>
        <w:t xml:space="preserve"> refusal to give a competitor access to an essential facility when it is economically feasible to do so.</w:t>
      </w:r>
    </w:p>
    <w:p w14:paraId="159FC9A7">
      <w:pPr>
        <w:pStyle w:val="11"/>
        <w:numPr>
          <w:ilvl w:val="0"/>
          <w:numId w:val="1"/>
        </w:numPr>
        <w:jc w:val="both"/>
      </w:pPr>
      <w:r>
        <w:t>Prohibition of monopoly: The Commission’s powers extend to the investigation of monopolies. Where any monopoly is found to exist, the Tribunal’s remedial efforts may include the prohibition of an acquisition transaction, business break-up, forced publication of price lists, etc.</w:t>
      </w:r>
    </w:p>
    <w:p w14:paraId="42CA7126">
      <w:pPr>
        <w:pStyle w:val="11"/>
        <w:ind w:left="1080"/>
        <w:jc w:val="both"/>
      </w:pPr>
      <w:r>
        <w:t>Also, the Commission’s oversight over monopolies is not restricted to those arising in Nigeria, if the undertaking is of Nigerian origin.</w:t>
      </w:r>
      <w:r>
        <w:rPr>
          <w:rStyle w:val="7"/>
        </w:rPr>
        <w:footnoteReference w:id="19"/>
      </w:r>
    </w:p>
    <w:p w14:paraId="02CA0BDE">
      <w:pPr>
        <w:pStyle w:val="11"/>
        <w:numPr>
          <w:ilvl w:val="0"/>
          <w:numId w:val="1"/>
        </w:numPr>
        <w:spacing w:line="480" w:lineRule="auto"/>
        <w:jc w:val="both"/>
      </w:pPr>
      <w:r>
        <w:t>Oversight regulated industries: The FCCPA gives the Commission oversight powers in every sector, including presently regulated industries. The FCCPA provides that in the event of any conflict, the Commission would share concurrent oversight with the industry specific regulator. The FCCPA mandates the industry regulators to negotiate agreements with the Commission on how the powers of competition and consumer protection would be exercised within their industries.</w:t>
      </w:r>
      <w:r>
        <w:rPr>
          <w:rStyle w:val="7"/>
        </w:rPr>
        <w:footnoteReference w:id="20"/>
      </w:r>
    </w:p>
    <w:p w14:paraId="1E4F092E">
      <w:pPr>
        <w:pStyle w:val="11"/>
        <w:numPr>
          <w:ilvl w:val="0"/>
          <w:numId w:val="1"/>
        </w:numPr>
        <w:spacing w:line="480" w:lineRule="auto"/>
        <w:jc w:val="both"/>
      </w:pPr>
      <w:r>
        <w:t xml:space="preserve">Offences and stiff penalties: The FCCPA stipulates offences and stiff penalties against competition such as price-fixing, conspiracy, bid-rigging, obstruction of investigation or inquiry, offences against records, giving of false or misleading information, etc. </w:t>
      </w:r>
      <w:r>
        <w:rPr>
          <w:rStyle w:val="7"/>
        </w:rPr>
        <w:footnoteReference w:id="21"/>
      </w:r>
    </w:p>
    <w:p w14:paraId="24952B92">
      <w:pPr>
        <w:pStyle w:val="11"/>
        <w:numPr>
          <w:ilvl w:val="0"/>
          <w:numId w:val="1"/>
        </w:numPr>
        <w:spacing w:line="480" w:lineRule="auto"/>
        <w:jc w:val="both"/>
      </w:pPr>
      <w:r>
        <w:t>Consumers’ rights: This is a right to safety, to be informed, to choose, and the right to be heard. These rights are meant to ensure consumers' fair treatment and information needed to make informed decisions about the products and services they bought</w:t>
      </w:r>
      <w:r>
        <w:rPr>
          <w:rStyle w:val="7"/>
        </w:rPr>
        <w:t xml:space="preserve"> </w:t>
      </w:r>
      <w:r>
        <w:rPr>
          <w:rStyle w:val="7"/>
        </w:rPr>
        <w:footnoteReference w:id="22"/>
      </w:r>
    </w:p>
    <w:p w14:paraId="7387EFF4">
      <w:pPr>
        <w:pStyle w:val="11"/>
        <w:numPr>
          <w:ilvl w:val="0"/>
          <w:numId w:val="1"/>
        </w:numPr>
        <w:spacing w:line="480" w:lineRule="auto"/>
        <w:jc w:val="both"/>
      </w:pPr>
      <w:r>
        <w:t>Enforcement of consumers’ rights: a consumer whose rights have been violated by any person can either refer the matter to the undertaking for redress or file a complaint in the Commission. The Consumer also has the option of seeking redress in a Court of competent jurisdiction. The Commission has the power to investigate complaints and issuing appropriate orders. A consumer can appeal the decision of the Commission at the Tribunal; further Appeal is Court of appeal. Under section 47(2), decisions of the Tribunal shall be registered at the Federal High Court for enforcement purposes only.</w:t>
      </w:r>
      <w:r>
        <w:rPr>
          <w:rStyle w:val="7"/>
        </w:rPr>
        <w:footnoteReference w:id="23"/>
      </w:r>
    </w:p>
    <w:p w14:paraId="4E9E2126">
      <w:pPr>
        <w:spacing w:line="480" w:lineRule="auto"/>
        <w:jc w:val="both"/>
        <w:rPr>
          <w:rFonts w:ascii="Times New Roman" w:hAnsi="Times New Roman" w:cs="Times New Roman"/>
          <w:b/>
          <w:sz w:val="24"/>
          <w:szCs w:val="24"/>
        </w:rPr>
      </w:pPr>
      <w:r>
        <w:rPr>
          <w:rFonts w:ascii="Times New Roman" w:hAnsi="Times New Roman" w:cs="Times New Roman"/>
          <w:b/>
          <w:sz w:val="24"/>
          <w:szCs w:val="24"/>
        </w:rPr>
        <w:t>1.4 Scope and Delimitation of the Study</w:t>
      </w:r>
    </w:p>
    <w:p w14:paraId="1ADAA6E9">
      <w:pPr>
        <w:spacing w:line="480" w:lineRule="auto"/>
        <w:jc w:val="both"/>
        <w:rPr>
          <w:rFonts w:ascii="Times New Roman" w:hAnsi="Times New Roman" w:cs="Times New Roman"/>
          <w:b/>
          <w:sz w:val="24"/>
          <w:szCs w:val="24"/>
        </w:rPr>
      </w:pPr>
      <w:r>
        <w:rPr>
          <w:rFonts w:ascii="Times New Roman" w:hAnsi="Times New Roman" w:cs="Times New Roman"/>
          <w:sz w:val="24"/>
          <w:szCs w:val="24"/>
        </w:rPr>
        <w:t>The study will be narrowed on the establishment of the Tribunal</w:t>
      </w:r>
      <w:r>
        <w:rPr>
          <w:rStyle w:val="7"/>
          <w:rFonts w:ascii="Times New Roman" w:hAnsi="Times New Roman" w:cs="Times New Roman"/>
          <w:sz w:val="24"/>
          <w:szCs w:val="24"/>
        </w:rPr>
        <w:footnoteReference w:id="24"/>
      </w:r>
      <w:r>
        <w:rPr>
          <w:rFonts w:ascii="Times New Roman" w:hAnsi="Times New Roman" w:cs="Times New Roman"/>
          <w:sz w:val="24"/>
          <w:szCs w:val="24"/>
        </w:rPr>
        <w:t xml:space="preserve"> while taking cognisance of comparative analysis with the Commission under the FCCPA.</w:t>
      </w:r>
    </w:p>
    <w:p w14:paraId="739C0CBF">
      <w:pPr>
        <w:spacing w:line="480" w:lineRule="auto"/>
        <w:jc w:val="both"/>
        <w:rPr>
          <w:rFonts w:ascii="Times New Roman" w:hAnsi="Times New Roman" w:cs="Times New Roman"/>
          <w:sz w:val="24"/>
          <w:szCs w:val="24"/>
        </w:rPr>
      </w:pPr>
      <w:r>
        <w:rPr>
          <w:rFonts w:ascii="Times New Roman" w:hAnsi="Times New Roman" w:cs="Times New Roman"/>
          <w:sz w:val="24"/>
          <w:szCs w:val="24"/>
        </w:rPr>
        <w:t>The Commission</w:t>
      </w:r>
      <w:r>
        <w:rPr>
          <w:rStyle w:val="7"/>
          <w:rFonts w:ascii="Times New Roman" w:hAnsi="Times New Roman" w:cs="Times New Roman"/>
          <w:sz w:val="24"/>
          <w:szCs w:val="24"/>
        </w:rPr>
        <w:footnoteReference w:id="25"/>
      </w:r>
      <w:r>
        <w:rPr>
          <w:rFonts w:ascii="Times New Roman" w:hAnsi="Times New Roman" w:cs="Times New Roman"/>
          <w:sz w:val="24"/>
          <w:szCs w:val="24"/>
        </w:rPr>
        <w:t xml:space="preserve"> commences originating summons while the Tribunal assume appellate jurisdiction to entertain matters arising from anti-competition practices and all commercial activities undertaken in the country</w:t>
      </w:r>
      <w:r>
        <w:rPr>
          <w:rStyle w:val="7"/>
          <w:rFonts w:ascii="Times New Roman" w:hAnsi="Times New Roman" w:cs="Times New Roman"/>
          <w:sz w:val="24"/>
          <w:szCs w:val="24"/>
        </w:rPr>
        <w:footnoteReference w:id="26"/>
      </w:r>
      <w:r>
        <w:rPr>
          <w:rFonts w:ascii="Times New Roman" w:hAnsi="Times New Roman" w:cs="Times New Roman"/>
          <w:sz w:val="24"/>
          <w:szCs w:val="24"/>
        </w:rPr>
        <w:t xml:space="preserve"> for profit and satisfaction of public demand, whether undertaken by privately or publicly held corporate entities, corporate bodies in which either the Federal, a State or Local Government has controlling stake or agencies of the Federal Government in Nigeria as well, powers to make binding decisions, give awards or penalties</w:t>
      </w:r>
      <w:r>
        <w:rPr>
          <w:rStyle w:val="7"/>
          <w:rFonts w:ascii="Times New Roman" w:hAnsi="Times New Roman" w:cs="Times New Roman"/>
          <w:sz w:val="24"/>
          <w:szCs w:val="24"/>
        </w:rPr>
        <w:footnoteReference w:id="27"/>
      </w:r>
      <w:r>
        <w:rPr>
          <w:rFonts w:ascii="Times New Roman" w:hAnsi="Times New Roman" w:cs="Times New Roman"/>
          <w:sz w:val="24"/>
          <w:szCs w:val="24"/>
        </w:rPr>
        <w:t>. The Tribunal has jurisdiction to hear matters relating to transactions done within or outside Nigeria</w:t>
      </w:r>
      <w:r>
        <w:rPr>
          <w:rStyle w:val="7"/>
          <w:rFonts w:ascii="Times New Roman" w:hAnsi="Times New Roman" w:cs="Times New Roman"/>
          <w:sz w:val="24"/>
          <w:szCs w:val="24"/>
        </w:rPr>
        <w:footnoteReference w:id="28"/>
      </w:r>
      <w:r>
        <w:rPr>
          <w:rFonts w:ascii="Times New Roman" w:hAnsi="Times New Roman" w:cs="Times New Roman"/>
          <w:sz w:val="24"/>
          <w:szCs w:val="24"/>
        </w:rPr>
        <w:t xml:space="preserve">. The Tribunal power over any person or corporal body in relation to the acquisition of shares or other assets of a business in Nigeria. </w:t>
      </w:r>
    </w:p>
    <w:p w14:paraId="0A2F6C3D">
      <w:pPr>
        <w:pStyle w:val="11"/>
        <w:spacing w:line="480" w:lineRule="auto"/>
        <w:jc w:val="both"/>
      </w:pPr>
      <w:r>
        <w:t xml:space="preserve">The scope of the Tribunal can be summarised as follows: </w:t>
      </w:r>
    </w:p>
    <w:p w14:paraId="72ECDC16">
      <w:pPr>
        <w:pStyle w:val="11"/>
        <w:numPr>
          <w:ilvl w:val="0"/>
          <w:numId w:val="3"/>
        </w:numPr>
        <w:spacing w:line="480" w:lineRule="auto"/>
        <w:jc w:val="both"/>
      </w:pPr>
      <w:r>
        <w:t xml:space="preserve">request the production and discovery of documents; </w:t>
      </w:r>
    </w:p>
    <w:p w14:paraId="112F49DD">
      <w:pPr>
        <w:pStyle w:val="11"/>
        <w:numPr>
          <w:ilvl w:val="0"/>
          <w:numId w:val="3"/>
        </w:numPr>
        <w:spacing w:line="480" w:lineRule="auto"/>
        <w:jc w:val="both"/>
      </w:pPr>
      <w:r>
        <w:t xml:space="preserve">call for and examine witnesses under oath; </w:t>
      </w:r>
    </w:p>
    <w:p w14:paraId="1F6C7517">
      <w:pPr>
        <w:pStyle w:val="11"/>
        <w:numPr>
          <w:ilvl w:val="0"/>
          <w:numId w:val="3"/>
        </w:numPr>
        <w:spacing w:line="480" w:lineRule="auto"/>
        <w:jc w:val="both"/>
      </w:pPr>
      <w:r>
        <w:t xml:space="preserve">impose administrative penalties for a prohibited act or for the failure to comply with an interim order of the </w:t>
      </w:r>
      <w:r>
        <w:rPr>
          <w:rStyle w:val="12"/>
          <w:b w:val="0"/>
        </w:rPr>
        <w:t>Tribunal</w:t>
      </w:r>
      <w:r>
        <w:t xml:space="preserve">; </w:t>
      </w:r>
    </w:p>
    <w:p w14:paraId="53A03761">
      <w:pPr>
        <w:pStyle w:val="11"/>
        <w:numPr>
          <w:ilvl w:val="0"/>
          <w:numId w:val="3"/>
        </w:numPr>
        <w:spacing w:line="480" w:lineRule="auto"/>
        <w:jc w:val="both"/>
      </w:pPr>
      <w:r>
        <w:t xml:space="preserve">receive evidence on affidavits; </w:t>
      </w:r>
    </w:p>
    <w:p w14:paraId="65C89EF5">
      <w:pPr>
        <w:pStyle w:val="11"/>
        <w:numPr>
          <w:ilvl w:val="0"/>
          <w:numId w:val="3"/>
        </w:numPr>
        <w:spacing w:line="480" w:lineRule="auto"/>
        <w:jc w:val="both"/>
      </w:pPr>
      <w:r>
        <w:t>summon and enforce the attendance of any person; and do anything that in its opinion is deemed necessary to issue a final reasoned decision on the matter before it.</w:t>
      </w:r>
    </w:p>
    <w:p w14:paraId="4826F3B4">
      <w:pPr>
        <w:spacing w:before="100" w:beforeAutospacing="1" w:after="100" w:afterAutospacing="1" w:line="480" w:lineRule="auto"/>
        <w:jc w:val="both"/>
        <w:outlineLvl w:val="2"/>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1.5 The Significance of the Study</w:t>
      </w:r>
    </w:p>
    <w:p w14:paraId="54960B13">
      <w:pPr>
        <w:spacing w:before="100" w:beforeAutospacing="1" w:after="100" w:afterAutospacing="1" w:line="480" w:lineRule="auto"/>
        <w:jc w:val="both"/>
        <w:outlineLvl w:val="2"/>
        <w:rPr>
          <w:rFonts w:ascii="Times New Roman" w:hAnsi="Times New Roman" w:cs="Times New Roman"/>
          <w:sz w:val="24"/>
          <w:szCs w:val="24"/>
        </w:rPr>
      </w:pPr>
      <w:r>
        <w:rPr>
          <w:rFonts w:ascii="Times New Roman" w:hAnsi="Times New Roman" w:cs="Times New Roman"/>
          <w:sz w:val="24"/>
          <w:szCs w:val="24"/>
        </w:rPr>
        <w:t>The FCCPA repealed the CPCA,</w:t>
      </w:r>
      <w:r>
        <w:rPr>
          <w:rStyle w:val="7"/>
          <w:rFonts w:ascii="Times New Roman" w:hAnsi="Times New Roman" w:cs="Times New Roman"/>
          <w:sz w:val="24"/>
          <w:szCs w:val="24"/>
        </w:rPr>
        <w:footnoteReference w:id="29"/>
      </w:r>
      <w:r>
        <w:rPr>
          <w:rFonts w:ascii="Times New Roman" w:hAnsi="Times New Roman" w:cs="Times New Roman"/>
          <w:sz w:val="24"/>
          <w:szCs w:val="24"/>
        </w:rPr>
        <w:t xml:space="preserve"> and established the FCCPC</w:t>
      </w:r>
      <w:r>
        <w:rPr>
          <w:rStyle w:val="7"/>
          <w:rFonts w:ascii="Times New Roman" w:hAnsi="Times New Roman" w:cs="Times New Roman"/>
          <w:sz w:val="24"/>
          <w:szCs w:val="24"/>
        </w:rPr>
        <w:footnoteReference w:id="30"/>
      </w:r>
      <w:r>
        <w:rPr>
          <w:rFonts w:ascii="Times New Roman" w:hAnsi="Times New Roman" w:cs="Times New Roman"/>
          <w:sz w:val="24"/>
          <w:szCs w:val="24"/>
        </w:rPr>
        <w:t xml:space="preserve"> in the place of the Consumer Protection Council (CPC). It equally established the Tribunal as the appellate body over the decisions of the Commission. It also repealed Sections 118 to 127 of ISA which hitherto empowered the Securities and Exchange Commission (SEC) to regulate and approve mergers, and assigned this role to the FCCPC.</w:t>
      </w:r>
      <w:r>
        <w:rPr>
          <w:rStyle w:val="7"/>
          <w:rFonts w:ascii="Times New Roman" w:hAnsi="Times New Roman" w:cs="Times New Roman"/>
          <w:sz w:val="24"/>
          <w:szCs w:val="24"/>
        </w:rPr>
        <w:footnoteReference w:id="31"/>
      </w:r>
      <w:r>
        <w:rPr>
          <w:rFonts w:ascii="Times New Roman" w:hAnsi="Times New Roman" w:cs="Times New Roman"/>
          <w:sz w:val="24"/>
          <w:szCs w:val="24"/>
        </w:rPr>
        <w:t xml:space="preserve"> The Tribunal has jurisdictions extraterritorially to any prohibited conduct by a Nigerian citizen or a person ordinarily resident in Nigeria in acquiring goods or services into or within Nigeria; any person in relation to the acquisition of shares or assets outside Nigeria which results in the change of control of the business, part of the business or any asset of the business in Nigeria.</w:t>
      </w:r>
      <w:r>
        <w:rPr>
          <w:rStyle w:val="7"/>
          <w:rFonts w:ascii="Times New Roman" w:hAnsi="Times New Roman" w:cs="Times New Roman"/>
          <w:sz w:val="24"/>
          <w:szCs w:val="24"/>
        </w:rPr>
        <w:footnoteReference w:id="32"/>
      </w:r>
    </w:p>
    <w:p w14:paraId="64DF55B4">
      <w:pPr>
        <w:pStyle w:val="11"/>
        <w:spacing w:line="480" w:lineRule="auto"/>
        <w:jc w:val="both"/>
      </w:pPr>
      <w:r>
        <w:t>Furthermore, this study is very important as it will aid in educating the consumers and manufacturers on their rights and obligations, and equally ground the general public on the powers and jurisdictions of the Tribunal in enforcing Consumer rights.</w:t>
      </w:r>
    </w:p>
    <w:p w14:paraId="6A8B0487">
      <w:pPr>
        <w:pStyle w:val="11"/>
        <w:spacing w:line="480" w:lineRule="auto"/>
        <w:jc w:val="both"/>
      </w:pPr>
      <w:r>
        <w:t>The study will not only perform the role of consumer rights education, but examining the latest statutory medium of its enforcement. The provisions of the FCCPA are of essence to help boost consumers esteem to take appropriate actions when they feel dissatisfied. For instance, the FCCPA provided for rights against some acts by the manufacturers to consumers which include the following:</w:t>
      </w:r>
    </w:p>
    <w:p w14:paraId="50EE4F9C">
      <w:pPr>
        <w:pStyle w:val="11"/>
        <w:numPr>
          <w:ilvl w:val="0"/>
          <w:numId w:val="4"/>
        </w:numPr>
        <w:suppressLineNumbers/>
        <w:spacing w:line="480" w:lineRule="auto"/>
        <w:jc w:val="both"/>
      </w:pPr>
      <w:r>
        <w:t>Consumer's right to select suppliers.</w:t>
      </w:r>
    </w:p>
    <w:p w14:paraId="3E1504D1">
      <w:pPr>
        <w:pStyle w:val="11"/>
        <w:numPr>
          <w:ilvl w:val="0"/>
          <w:numId w:val="4"/>
        </w:numPr>
        <w:suppressLineNumbers/>
        <w:spacing w:line="480" w:lineRule="auto"/>
        <w:jc w:val="both"/>
      </w:pPr>
      <w:r>
        <w:t>Consumer's right to cancel advance reservation, booking or order.</w:t>
      </w:r>
    </w:p>
    <w:p w14:paraId="4CAF95FA">
      <w:pPr>
        <w:pStyle w:val="11"/>
        <w:numPr>
          <w:ilvl w:val="0"/>
          <w:numId w:val="4"/>
        </w:numPr>
        <w:suppressLineNumbers/>
        <w:spacing w:line="480" w:lineRule="auto"/>
        <w:jc w:val="both"/>
      </w:pPr>
      <w:r>
        <w:t>Consumer's right to choose or examine goods.</w:t>
      </w:r>
    </w:p>
    <w:p w14:paraId="2574B41E">
      <w:pPr>
        <w:pStyle w:val="11"/>
        <w:numPr>
          <w:ilvl w:val="0"/>
          <w:numId w:val="4"/>
        </w:numPr>
        <w:suppressLineNumbers/>
        <w:spacing w:line="480" w:lineRule="auto"/>
        <w:jc w:val="both"/>
      </w:pPr>
      <w:r>
        <w:t>Consumer's right to return goods.</w:t>
      </w:r>
    </w:p>
    <w:p w14:paraId="76A33080">
      <w:pPr>
        <w:pStyle w:val="11"/>
        <w:numPr>
          <w:ilvl w:val="0"/>
          <w:numId w:val="4"/>
        </w:numPr>
        <w:suppressLineNumbers/>
        <w:spacing w:line="480" w:lineRule="auto"/>
        <w:jc w:val="both"/>
      </w:pPr>
      <w:r>
        <w:t>General standards for the marketing of goods and services.</w:t>
      </w:r>
    </w:p>
    <w:p w14:paraId="1DFFA354">
      <w:pPr>
        <w:pStyle w:val="11"/>
        <w:numPr>
          <w:ilvl w:val="0"/>
          <w:numId w:val="4"/>
        </w:numPr>
        <w:suppressLineNumbers/>
        <w:spacing w:line="480" w:lineRule="auto"/>
        <w:jc w:val="both"/>
      </w:pPr>
      <w:r>
        <w:t>Right to fair dealings.</w:t>
      </w:r>
    </w:p>
    <w:p w14:paraId="5A11274E">
      <w:pPr>
        <w:pStyle w:val="11"/>
        <w:numPr>
          <w:ilvl w:val="0"/>
          <w:numId w:val="4"/>
        </w:numPr>
        <w:suppressLineNumbers/>
        <w:spacing w:line="480" w:lineRule="auto"/>
        <w:jc w:val="both"/>
      </w:pPr>
      <w:r>
        <w:t>False, misleading or deceptive representations.</w:t>
      </w:r>
    </w:p>
    <w:p w14:paraId="7CC9E49F">
      <w:pPr>
        <w:pStyle w:val="11"/>
        <w:numPr>
          <w:ilvl w:val="0"/>
          <w:numId w:val="4"/>
        </w:numPr>
        <w:suppressLineNumbers/>
        <w:spacing w:line="480" w:lineRule="auto"/>
        <w:jc w:val="both"/>
      </w:pPr>
      <w:r>
        <w:t>Representation test and publication testimonials.</w:t>
      </w:r>
    </w:p>
    <w:p w14:paraId="0188992A">
      <w:pPr>
        <w:pStyle w:val="11"/>
        <w:numPr>
          <w:ilvl w:val="0"/>
          <w:numId w:val="4"/>
        </w:numPr>
        <w:suppressLineNumbers/>
        <w:spacing w:line="480" w:lineRule="auto"/>
        <w:jc w:val="both"/>
      </w:pPr>
      <w:r>
        <w:t>Unfair, unreasonable or unjust contract terms.</w:t>
      </w:r>
    </w:p>
    <w:p w14:paraId="317DF26C">
      <w:pPr>
        <w:pStyle w:val="11"/>
        <w:numPr>
          <w:ilvl w:val="0"/>
          <w:numId w:val="4"/>
        </w:numPr>
        <w:suppressLineNumbers/>
        <w:spacing w:line="480" w:lineRule="auto"/>
        <w:jc w:val="both"/>
      </w:pPr>
      <w:r>
        <w:t>Notice required for certain terms and conditions.</w:t>
      </w:r>
    </w:p>
    <w:p w14:paraId="0D07D143">
      <w:pPr>
        <w:pStyle w:val="11"/>
        <w:numPr>
          <w:ilvl w:val="0"/>
          <w:numId w:val="4"/>
        </w:numPr>
        <w:suppressLineNumbers/>
        <w:spacing w:line="480" w:lineRule="auto"/>
        <w:jc w:val="both"/>
      </w:pPr>
      <w:r>
        <w:t>Prohibited transactions, agreements, terms or conditions.</w:t>
      </w:r>
    </w:p>
    <w:p w14:paraId="1E77C1B9">
      <w:pPr>
        <w:pStyle w:val="11"/>
        <w:numPr>
          <w:ilvl w:val="0"/>
          <w:numId w:val="4"/>
        </w:numPr>
        <w:suppressLineNumbers/>
        <w:spacing w:line="480" w:lineRule="auto"/>
        <w:jc w:val="both"/>
      </w:pPr>
      <w:r>
        <w:t>Rights pertaining to the quality and safety of goods and services.</w:t>
      </w:r>
    </w:p>
    <w:p w14:paraId="159E489C">
      <w:pPr>
        <w:pStyle w:val="11"/>
        <w:numPr>
          <w:ilvl w:val="0"/>
          <w:numId w:val="4"/>
        </w:numPr>
        <w:suppressLineNumbers/>
        <w:spacing w:line="480" w:lineRule="auto"/>
        <w:jc w:val="both"/>
      </w:pPr>
      <w:r>
        <w:t>Consumers' rights to safe, good quality goods.</w:t>
      </w:r>
    </w:p>
    <w:p w14:paraId="0CD15205">
      <w:pPr>
        <w:pStyle w:val="11"/>
        <w:numPr>
          <w:ilvl w:val="0"/>
          <w:numId w:val="4"/>
        </w:numPr>
        <w:suppressLineNumbers/>
        <w:spacing w:line="480" w:lineRule="auto"/>
        <w:jc w:val="both"/>
      </w:pPr>
      <w:r>
        <w:t>Implied warranty of quality.</w:t>
      </w:r>
      <w:r>
        <w:rPr>
          <w:rStyle w:val="7"/>
        </w:rPr>
        <w:footnoteReference w:id="33"/>
      </w:r>
    </w:p>
    <w:p w14:paraId="2A643AF1">
      <w:pPr>
        <w:pStyle w:val="11"/>
        <w:spacing w:line="480" w:lineRule="auto"/>
        <w:ind w:left="45"/>
        <w:jc w:val="both"/>
      </w:pPr>
      <w:r>
        <w:t>Manufacturers and service providers have consistently used “no refund of money after payment” policy and “</w:t>
      </w:r>
      <w:r>
        <w:rPr>
          <w:i/>
        </w:rPr>
        <w:t>caveat emptor</w:t>
      </w:r>
      <w:r>
        <w:t xml:space="preserve">” against consumers and in their favour. Happily, FCCPA has come to consumers rescue and the courts appear to be brazing up to the challenges. </w:t>
      </w:r>
    </w:p>
    <w:p w14:paraId="7C8CAC02">
      <w:pPr>
        <w:pStyle w:val="11"/>
        <w:spacing w:before="240" w:line="480" w:lineRule="auto"/>
        <w:ind w:left="45"/>
        <w:jc w:val="both"/>
      </w:pPr>
      <w:r>
        <w:t xml:space="preserve">In the case of </w:t>
      </w:r>
      <w:r>
        <w:rPr>
          <w:i/>
        </w:rPr>
        <w:t>Patrick Chukwuma v Peace Mass Transit Limited</w:t>
      </w:r>
      <w:r>
        <w:t>,</w:t>
      </w:r>
      <w:r>
        <w:rPr>
          <w:rStyle w:val="7"/>
        </w:rPr>
        <w:footnoteReference w:id="34"/>
      </w:r>
      <w:r>
        <w:t>Patrick Chukwuma, an Enugu-based lawyer, was awarded N300,000 damages in a claim against Peace Mass Transit Ltd. (PMS), a transport company, after they failed to refund his fare for a delayed trip. The Enugu State High Court gave its judgment in Chukwuma’s favour, and ordered PMS to pay the damages incurred by Chukwuma.</w:t>
      </w:r>
    </w:p>
    <w:p w14:paraId="2CAB96C7">
      <w:pPr>
        <w:pStyle w:val="11"/>
        <w:spacing w:line="480" w:lineRule="auto"/>
        <w:jc w:val="both"/>
      </w:pPr>
      <w:r>
        <w:t xml:space="preserve">His ordeal with the company began on February 2, 2021, when he purchased a N500 ticket from a PMS branch in Obollor-Afor, Udenu Local Government Area of Enugu State. His destination was Enugu, the state capital. The Honourable Court, adjudicating on the matter, delivered judgement in favour of the Plaintiff and held that a “no refund policy” is illegal and null and void. Two hours after, there were empty seats in the bus Chukwuma paid for, and as he was running late for his appointment. He got off the bus and requested a refund, but was told the company operated a no-refund policy, meaning he could not get his money back. </w:t>
      </w:r>
    </w:p>
    <w:p w14:paraId="0331B370">
      <w:pPr>
        <w:pStyle w:val="11"/>
        <w:spacing w:line="480" w:lineRule="auto"/>
        <w:jc w:val="both"/>
      </w:pPr>
      <w:r>
        <w:t xml:space="preserve">He argued the legality of the policy, but PMS staffer did not comply with him. What followed was a lawsuit five months later. Chukwuma based his argument on section 120 of the FCCPA which provides that; “a consumer shall have the right to cancel any advance booking, reservation or order for any goods or services, subject to a reasonable charge for cancellation of the order or reservation by the supplier or service provider.” </w:t>
      </w:r>
    </w:p>
    <w:p w14:paraId="551E3F12">
      <w:pPr>
        <w:pStyle w:val="11"/>
        <w:spacing w:line="480" w:lineRule="auto"/>
        <w:ind w:left="45"/>
        <w:jc w:val="both"/>
      </w:pPr>
      <w:r>
        <w:t>The Court in reaching its decision relied on the provisions specifically section 120</w:t>
      </w:r>
      <w:r>
        <w:rPr>
          <w:b/>
        </w:rPr>
        <w:t xml:space="preserve">, </w:t>
      </w:r>
      <w:r>
        <w:rPr>
          <w:rStyle w:val="12"/>
          <w:b w:val="0"/>
        </w:rPr>
        <w:t>104, 129 (1) (a) and (b) (iii)</w:t>
      </w:r>
      <w:r>
        <w:t xml:space="preserve"> of the FCCPA, 2018. </w:t>
      </w:r>
    </w:p>
    <w:p w14:paraId="5D407E82">
      <w:pPr>
        <w:pStyle w:val="11"/>
        <w:spacing w:line="480" w:lineRule="auto"/>
        <w:ind w:left="45"/>
        <w:jc w:val="both"/>
      </w:pPr>
      <w:r>
        <w:t xml:space="preserve">This study equally noted some important provisions of the FCCPA relating to </w:t>
      </w:r>
      <w:r>
        <w:rPr>
          <w:bCs/>
        </w:rPr>
        <w:t>Prohibition of Agreements in Restraint of Competition, Dominant Position, Monopoly, and Mergers.</w:t>
      </w:r>
    </w:p>
    <w:p w14:paraId="2A0C56F8">
      <w:pPr>
        <w:spacing w:line="480" w:lineRule="auto"/>
        <w:jc w:val="both"/>
        <w:rPr>
          <w:rFonts w:ascii="Times New Roman" w:hAnsi="Times New Roman" w:cs="Times New Roman"/>
          <w:b/>
          <w:sz w:val="24"/>
          <w:szCs w:val="24"/>
        </w:rPr>
      </w:pPr>
      <w:r>
        <w:rPr>
          <w:rFonts w:ascii="Times New Roman" w:hAnsi="Times New Roman" w:cs="Times New Roman"/>
          <w:b/>
          <w:sz w:val="24"/>
          <w:szCs w:val="24"/>
        </w:rPr>
        <w:t>1.6 Research Methodology</w:t>
      </w:r>
    </w:p>
    <w:p w14:paraId="1E1501CB">
      <w:pPr>
        <w:spacing w:line="480" w:lineRule="auto"/>
        <w:jc w:val="both"/>
        <w:rPr>
          <w:rFonts w:ascii="Times New Roman" w:hAnsi="Times New Roman" w:eastAsia="Times New Roman" w:cs="Times New Roman"/>
          <w:sz w:val="24"/>
          <w:szCs w:val="24"/>
        </w:rPr>
      </w:pPr>
      <w:r>
        <w:rPr>
          <w:rFonts w:ascii="Times New Roman" w:hAnsi="Times New Roman" w:cs="Times New Roman"/>
          <w:color w:val="000000"/>
          <w:sz w:val="24"/>
          <w:szCs w:val="24"/>
        </w:rPr>
        <w:t xml:space="preserve">Although most of this research was conducted by doctrinal research in libraries, it also </w:t>
      </w:r>
      <w:r>
        <w:rPr>
          <w:rFonts w:ascii="Times New Roman" w:hAnsi="Times New Roman" w:eastAsia="Times New Roman" w:cs="Times New Roman"/>
          <w:color w:val="000000"/>
          <w:sz w:val="24"/>
          <w:szCs w:val="24"/>
        </w:rPr>
        <w:t xml:space="preserve">involved qualitative methods such as discussions with colleagues and lawyers. To attain the objectives of this research, a comparative analysis of the Commission and the Tribunal was also utilised. This was necessary to show where the area of research stands out compared to other Competitive laws, both repealed and the existing laws. </w:t>
      </w:r>
    </w:p>
    <w:p w14:paraId="003B1723">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The study made use of primary and secondary sources of legal research. The primary sources utilised include authoritative materials of the law such as the Constitution of the Federal Republic of Nigeria, 1999 (as Amended), statutes, legislation in force, official publications and judicial decisions relating to competition law, consumer rights, consumer protection and consumer enforcement laws. </w:t>
      </w:r>
    </w:p>
    <w:p w14:paraId="731C9A24">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The secondary data relied on include various unpublished records, published official records like sources from Federal Competitive and Consumer Protection Commission website, Competitive Consumer Protection Tribunal</w:t>
      </w:r>
      <w:r>
        <w:rPr>
          <w:rStyle w:val="7"/>
          <w:rFonts w:ascii="Times New Roman" w:hAnsi="Times New Roman" w:eastAsia="Times New Roman" w:cs="Times New Roman"/>
          <w:color w:val="000000"/>
          <w:sz w:val="24"/>
          <w:szCs w:val="24"/>
        </w:rPr>
        <w:footnoteReference w:id="35"/>
      </w:r>
      <w:r>
        <w:rPr>
          <w:rFonts w:ascii="Times New Roman" w:hAnsi="Times New Roman" w:eastAsia="Times New Roman" w:cs="Times New Roman"/>
          <w:color w:val="000000"/>
          <w:sz w:val="24"/>
          <w:szCs w:val="24"/>
        </w:rPr>
        <w:t xml:space="preserve"> official website etc. and statistics; statistics from other researchers in research monographs, books and journals, various competition laws, and internet documents: These are materials that pertain to the law but are not themselves authoritative records of legal rules. </w:t>
      </w:r>
    </w:p>
    <w:p w14:paraId="76CC3ACF">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Apart from FCCPA, It should be noted that because the area of law being researched in this study is relatively young in Nigeria, it was necessary to perform foundation research and, as such, there was heavy reliance on secondary sources. This research also employs the socio-legal approach to research which means the research will examine the law in action. This method encompasses evaluating the application of consumer laws in regular daily hypothetical cases in Nigeria with</w:t>
      </w:r>
      <w:r>
        <w:rPr>
          <w:rFonts w:ascii="Times New Roman" w:hAnsi="Times New Roman" w:eastAsia="Times New Roman" w:cs="Times New Roman"/>
          <w:sz w:val="24"/>
          <w:szCs w:val="24"/>
        </w:rPr>
        <w:t xml:space="preserve"> </w:t>
      </w:r>
      <w:r>
        <w:rPr>
          <w:rFonts w:ascii="Times New Roman" w:hAnsi="Times New Roman" w:eastAsia="Times New Roman" w:cs="Times New Roman"/>
          <w:color w:val="000000"/>
          <w:sz w:val="24"/>
          <w:szCs w:val="24"/>
        </w:rPr>
        <w:t>similar background to the concept. The findings from this method are expected to lead to a better understanding of competition law, consumer protection laws, and enforcement of consumer rights.</w:t>
      </w:r>
    </w:p>
    <w:p w14:paraId="78101C4B">
      <w:pPr>
        <w:spacing w:after="0" w:line="480" w:lineRule="auto"/>
        <w:jc w:val="both"/>
        <w:rPr>
          <w:rFonts w:ascii="Times New Roman" w:hAnsi="Times New Roman" w:eastAsia="Times New Roman" w:cs="Times New Roman"/>
          <w:color w:val="000000"/>
          <w:sz w:val="24"/>
          <w:szCs w:val="24"/>
        </w:rPr>
      </w:pPr>
    </w:p>
    <w:p w14:paraId="7AF7DC16">
      <w:pPr>
        <w:spacing w:after="0" w:line="480" w:lineRule="auto"/>
        <w:jc w:val="both"/>
        <w:rPr>
          <w:rFonts w:ascii="Times New Roman" w:hAnsi="Times New Roman" w:eastAsia="Times New Roman" w:cs="Times New Roman"/>
          <w:b/>
          <w:sz w:val="24"/>
          <w:szCs w:val="24"/>
        </w:rPr>
      </w:pPr>
      <w:r>
        <w:rPr>
          <w:rFonts w:ascii="Times New Roman" w:hAnsi="Times New Roman" w:eastAsia="Times New Roman" w:cs="Times New Roman"/>
          <w:b/>
          <w:color w:val="000000"/>
          <w:sz w:val="24"/>
          <w:szCs w:val="24"/>
        </w:rPr>
        <w:t>1.7 Limitation of the Study</w:t>
      </w:r>
    </w:p>
    <w:p w14:paraId="2605602C">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Like most research, this study faced certain challenges. As a starting point, competition law is a relatively new explored area of law in Nigeria and, as such, there are a limited number of literature and cases dealing with competition law especially cases handled by the Tribunal. Secondly, there is a scarcity of publications on anti-competitive activities that may have occurred. However, the use of secondary sources has greatly reduced the effects of these challenges on the outcome of this study. </w:t>
      </w:r>
    </w:p>
    <w:p w14:paraId="037444B0">
      <w:pPr>
        <w:spacing w:after="0" w:line="480" w:lineRule="auto"/>
        <w:jc w:val="both"/>
        <w:rPr>
          <w:rFonts w:ascii="Times New Roman" w:hAnsi="Times New Roman" w:eastAsia="Times New Roman" w:cs="Times New Roman"/>
          <w:color w:val="000000"/>
          <w:sz w:val="24"/>
          <w:szCs w:val="24"/>
        </w:rPr>
      </w:pPr>
    </w:p>
    <w:p w14:paraId="0C58FC26">
      <w:pPr>
        <w:spacing w:after="0" w:line="480" w:lineRule="auto"/>
        <w:jc w:val="both"/>
        <w:rPr>
          <w:rFonts w:ascii="Times New Roman" w:hAnsi="Times New Roman" w:eastAsia="Times New Roman" w:cs="Times New Roman"/>
          <w:color w:val="000000"/>
          <w:sz w:val="24"/>
          <w:szCs w:val="24"/>
        </w:rPr>
      </w:pPr>
    </w:p>
    <w:p w14:paraId="2AFD833B">
      <w:pPr>
        <w:spacing w:after="0" w:line="480" w:lineRule="auto"/>
        <w:jc w:val="both"/>
        <w:rPr>
          <w:rFonts w:ascii="Times New Roman" w:hAnsi="Times New Roman" w:eastAsia="Times New Roman" w:cs="Times New Roman"/>
          <w:color w:val="000000"/>
          <w:sz w:val="24"/>
          <w:szCs w:val="24"/>
        </w:rPr>
      </w:pPr>
    </w:p>
    <w:p w14:paraId="3ED138D1">
      <w:pPr>
        <w:spacing w:after="0" w:line="480" w:lineRule="auto"/>
        <w:jc w:val="both"/>
        <w:rPr>
          <w:rFonts w:ascii="Times New Roman" w:hAnsi="Times New Roman" w:eastAsia="Times New Roman" w:cs="Times New Roman"/>
          <w:color w:val="000000"/>
          <w:sz w:val="24"/>
          <w:szCs w:val="24"/>
        </w:rPr>
      </w:pPr>
    </w:p>
    <w:p w14:paraId="30D03662">
      <w:pPr>
        <w:spacing w:after="0" w:line="480" w:lineRule="auto"/>
        <w:jc w:val="center"/>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CHAPTER TWO</w:t>
      </w:r>
    </w:p>
    <w:p w14:paraId="139BE9F5">
      <w:pPr>
        <w:spacing w:after="0" w:line="480" w:lineRule="auto"/>
        <w:jc w:val="center"/>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LITERATURE REVIEW</w:t>
      </w:r>
    </w:p>
    <w:p w14:paraId="155C2AE7">
      <w:pPr>
        <w:spacing w:line="480" w:lineRule="auto"/>
        <w:jc w:val="both"/>
        <w:rPr>
          <w:rFonts w:ascii="Times New Roman" w:hAnsi="Times New Roman" w:cs="Times New Roman"/>
          <w:b/>
          <w:sz w:val="24"/>
          <w:szCs w:val="24"/>
        </w:rPr>
      </w:pPr>
      <w:r>
        <w:rPr>
          <w:rFonts w:ascii="Times New Roman" w:hAnsi="Times New Roman" w:cs="Times New Roman"/>
          <w:b/>
          <w:sz w:val="24"/>
          <w:szCs w:val="24"/>
        </w:rPr>
        <w:t>2.1 Theoretical Framework</w:t>
      </w:r>
    </w:p>
    <w:p w14:paraId="2354D447">
      <w:pPr>
        <w:spacing w:line="480" w:lineRule="auto"/>
        <w:jc w:val="both"/>
        <w:rPr>
          <w:rFonts w:ascii="Times New Roman" w:hAnsi="Times New Roman" w:cs="Times New Roman"/>
          <w:sz w:val="24"/>
          <w:szCs w:val="24"/>
        </w:rPr>
      </w:pPr>
      <w:r>
        <w:rPr>
          <w:rFonts w:ascii="Times New Roman" w:hAnsi="Times New Roman" w:cs="Times New Roman"/>
          <w:sz w:val="24"/>
          <w:szCs w:val="24"/>
        </w:rPr>
        <w:t>Competition means a struggle or contention for superiority, and in the commercial world this means a striving for the custom and business of people in the market place.</w:t>
      </w:r>
      <w:r>
        <w:rPr>
          <w:rStyle w:val="7"/>
          <w:rFonts w:ascii="Times New Roman" w:hAnsi="Times New Roman" w:cs="Times New Roman"/>
          <w:sz w:val="24"/>
          <w:szCs w:val="24"/>
        </w:rPr>
        <w:footnoteReference w:id="36"/>
      </w:r>
      <w:r>
        <w:rPr>
          <w:rFonts w:ascii="Times New Roman" w:hAnsi="Times New Roman" w:cs="Times New Roman"/>
          <w:sz w:val="24"/>
          <w:szCs w:val="24"/>
        </w:rPr>
        <w:t xml:space="preserve"> Competition law is a legal framework put in place by governments to regulate competitive markets</w:t>
      </w:r>
      <w:r>
        <w:rPr>
          <w:rStyle w:val="7"/>
          <w:rFonts w:ascii="Times New Roman" w:hAnsi="Times New Roman" w:cs="Times New Roman"/>
          <w:sz w:val="24"/>
          <w:szCs w:val="24"/>
        </w:rPr>
        <w:footnoteReference w:id="37"/>
      </w:r>
      <w:r>
        <w:rPr>
          <w:rFonts w:ascii="Times New Roman" w:hAnsi="Times New Roman" w:cs="Times New Roman"/>
          <w:sz w:val="24"/>
          <w:szCs w:val="24"/>
        </w:rPr>
        <w:t xml:space="preserve"> in a bid to ensure that firms operating in the free market economy</w:t>
      </w:r>
      <w:r>
        <w:rPr>
          <w:rStyle w:val="7"/>
          <w:rFonts w:ascii="Times New Roman" w:hAnsi="Times New Roman" w:cs="Times New Roman"/>
          <w:sz w:val="24"/>
          <w:szCs w:val="24"/>
        </w:rPr>
        <w:footnoteReference w:id="38"/>
      </w:r>
      <w:r>
        <w:rPr>
          <w:rFonts w:ascii="Times New Roman" w:hAnsi="Times New Roman" w:cs="Times New Roman"/>
          <w:sz w:val="24"/>
          <w:szCs w:val="24"/>
        </w:rPr>
        <w:t xml:space="preserve"> do not prevent or distort competition in a way that prevents the market from functioning optimally.</w:t>
      </w:r>
      <w:r>
        <w:rPr>
          <w:rStyle w:val="7"/>
          <w:rFonts w:ascii="Times New Roman" w:hAnsi="Times New Roman" w:cs="Times New Roman"/>
          <w:sz w:val="24"/>
          <w:szCs w:val="24"/>
        </w:rPr>
        <w:footnoteReference w:id="39"/>
      </w:r>
    </w:p>
    <w:p w14:paraId="13369D4F">
      <w:pPr>
        <w:spacing w:line="480" w:lineRule="auto"/>
        <w:jc w:val="both"/>
        <w:rPr>
          <w:rFonts w:ascii="Times New Roman" w:hAnsi="Times New Roman" w:cs="Times New Roman"/>
          <w:b/>
          <w:sz w:val="24"/>
          <w:szCs w:val="24"/>
        </w:rPr>
      </w:pPr>
      <w:r>
        <w:rPr>
          <w:rFonts w:ascii="Times New Roman" w:hAnsi="Times New Roman" w:cs="Times New Roman"/>
          <w:b/>
          <w:sz w:val="24"/>
          <w:szCs w:val="24"/>
        </w:rPr>
        <w:t>2.1.1 Theory of Market Economy</w:t>
      </w:r>
    </w:p>
    <w:p w14:paraId="590342DA">
      <w:pPr>
        <w:spacing w:line="480" w:lineRule="auto"/>
        <w:jc w:val="both"/>
        <w:rPr>
          <w:rFonts w:ascii="Times New Roman" w:hAnsi="Times New Roman" w:cs="Times New Roman"/>
          <w:sz w:val="24"/>
          <w:szCs w:val="24"/>
        </w:rPr>
      </w:pPr>
      <w:r>
        <w:rPr>
          <w:rFonts w:ascii="Times New Roman" w:hAnsi="Times New Roman" w:cs="Times New Roman"/>
          <w:sz w:val="24"/>
          <w:szCs w:val="24"/>
        </w:rPr>
        <w:t>The formal study of competition began in earnest during the late 17th century with such works as Adam Smith‘s the Wealth of Nations</w:t>
      </w:r>
      <w:r>
        <w:rPr>
          <w:rStyle w:val="7"/>
          <w:rFonts w:ascii="Times New Roman" w:hAnsi="Times New Roman" w:cs="Times New Roman"/>
          <w:sz w:val="24"/>
          <w:szCs w:val="24"/>
        </w:rPr>
        <w:footnoteReference w:id="40"/>
      </w:r>
      <w:r>
        <w:rPr>
          <w:rFonts w:ascii="Times New Roman" w:hAnsi="Times New Roman" w:cs="Times New Roman"/>
          <w:sz w:val="24"/>
          <w:szCs w:val="24"/>
        </w:rPr>
        <w:t xml:space="preserve"> in which the Theory of Market Economy was invented. He described competitions as a race by individuals which would make these individuals improve their production and force the price of the traded products to its natural level or result in the lowering of profits to a minimum.</w:t>
      </w:r>
    </w:p>
    <w:p w14:paraId="33C25598">
      <w:pPr>
        <w:spacing w:line="480" w:lineRule="auto"/>
        <w:jc w:val="both"/>
        <w:rPr>
          <w:rFonts w:ascii="Times New Roman" w:hAnsi="Times New Roman" w:cs="Times New Roman"/>
          <w:sz w:val="24"/>
          <w:szCs w:val="24"/>
        </w:rPr>
      </w:pPr>
      <w:r>
        <w:rPr>
          <w:rFonts w:ascii="Times New Roman" w:hAnsi="Times New Roman" w:cs="Times New Roman"/>
          <w:sz w:val="24"/>
          <w:szCs w:val="24"/>
        </w:rPr>
        <w:t>Adam Smith also elucidated that the actions of rival firms are the essence of competition and that the opening up of national markets to global competition is the pillar of trade and investment liberalisation.</w:t>
      </w:r>
      <w:r>
        <w:rPr>
          <w:rStyle w:val="7"/>
          <w:rFonts w:ascii="Times New Roman" w:hAnsi="Times New Roman" w:cs="Times New Roman"/>
          <w:sz w:val="24"/>
          <w:szCs w:val="24"/>
        </w:rPr>
        <w:footnoteReference w:id="41"/>
      </w:r>
    </w:p>
    <w:p w14:paraId="361E6216">
      <w:pPr>
        <w:spacing w:line="480" w:lineRule="auto"/>
        <w:jc w:val="both"/>
        <w:rPr>
          <w:rFonts w:ascii="Times New Roman" w:hAnsi="Times New Roman" w:cs="Times New Roman"/>
          <w:sz w:val="24"/>
          <w:szCs w:val="24"/>
        </w:rPr>
      </w:pPr>
      <w:r>
        <w:rPr>
          <w:rFonts w:ascii="Times New Roman" w:hAnsi="Times New Roman" w:cs="Times New Roman"/>
          <w:sz w:val="24"/>
          <w:szCs w:val="24"/>
        </w:rPr>
        <w:t>He also stressed for the non-interference of trade by governments which is popularly regarded as the concept of free trade. There are both static and dynamic gains associated with free competition. Static gains are those that improve the allocation of resources, by the exclusion of discriminatory measures that are disrupting competition.</w:t>
      </w:r>
      <w:r>
        <w:rPr>
          <w:rStyle w:val="7"/>
          <w:rFonts w:ascii="Times New Roman" w:hAnsi="Times New Roman" w:cs="Times New Roman"/>
          <w:sz w:val="24"/>
          <w:szCs w:val="24"/>
        </w:rPr>
        <w:footnoteReference w:id="42"/>
      </w:r>
      <w:r>
        <w:rPr>
          <w:rFonts w:ascii="Times New Roman" w:hAnsi="Times New Roman" w:cs="Times New Roman"/>
          <w:sz w:val="24"/>
          <w:szCs w:val="24"/>
        </w:rPr>
        <w:t xml:space="preserve"> This theory greatly influenced FCCPA in its anti-competition activities in Nigeria, both in private and government owned ventures. This theory helped to fashion out provisions of the FCCPA that will heavily improve the interest of manufacturers and Consumers. </w:t>
      </w:r>
    </w:p>
    <w:p w14:paraId="1C7807E9">
      <w:pPr>
        <w:spacing w:line="480" w:lineRule="auto"/>
        <w:jc w:val="both"/>
        <w:rPr>
          <w:rFonts w:ascii="Times New Roman" w:hAnsi="Times New Roman" w:cs="Times New Roman"/>
          <w:b/>
          <w:sz w:val="24"/>
          <w:szCs w:val="24"/>
        </w:rPr>
      </w:pPr>
      <w:r>
        <w:rPr>
          <w:rFonts w:ascii="Times New Roman" w:hAnsi="Times New Roman" w:cs="Times New Roman"/>
          <w:b/>
          <w:sz w:val="24"/>
          <w:szCs w:val="24"/>
        </w:rPr>
        <w:t>2.1.2 Chicago School Theory</w:t>
      </w:r>
    </w:p>
    <w:p w14:paraId="76A4A80F">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proponents of the Chicago School questioned the structure –conduct performance paradigm by showing that the causal link between concentration, entry barriers, and monopoly profits, was not very strong and at times non-existent thus giving a different definition of entry barriers. The conclusion of this school was that the pursuit of efficiency should be the goal of competition law and trust should be placed in the market which it holds to be robust when it comes to competition. For them, the identity of the winners or losers is irrelevant so long as efficiency is achieved, governments should intervene in the market only in cases of hard-core cartels and horizontal mergers that could either create a monopoly directly or facilitate cartelisation by drastically reducing the number of remaining sellers in the market hence, limiting their thoughts to only the economic view due to the dependence on only market forces. This theory greatly influenced South Africa Competition Act of 1998 which was heavily replicated in FCCPA.  </w:t>
      </w:r>
    </w:p>
    <w:p w14:paraId="69BCCA59">
      <w:pPr>
        <w:spacing w:line="480" w:lineRule="auto"/>
        <w:jc w:val="both"/>
        <w:rPr>
          <w:rFonts w:ascii="Times New Roman" w:hAnsi="Times New Roman" w:cs="Times New Roman"/>
          <w:b/>
          <w:sz w:val="24"/>
          <w:szCs w:val="24"/>
        </w:rPr>
      </w:pPr>
      <w:r>
        <w:rPr>
          <w:rFonts w:ascii="Times New Roman" w:hAnsi="Times New Roman" w:cs="Times New Roman"/>
          <w:b/>
          <w:sz w:val="24"/>
          <w:szCs w:val="24"/>
        </w:rPr>
        <w:t>2.1.3 Expectation Theory (also commonly known as Expectancy-Disconfirmation Theory)</w:t>
      </w:r>
    </w:p>
    <w:p w14:paraId="7701EA39">
      <w:pPr>
        <w:spacing w:line="480" w:lineRule="auto"/>
        <w:jc w:val="both"/>
        <w:rPr>
          <w:rFonts w:ascii="Times New Roman" w:hAnsi="Times New Roman" w:cs="Times New Roman"/>
          <w:sz w:val="24"/>
          <w:szCs w:val="24"/>
        </w:rPr>
      </w:pPr>
      <w:r>
        <w:rPr>
          <w:rFonts w:ascii="Times New Roman" w:hAnsi="Times New Roman" w:cs="Times New Roman"/>
          <w:sz w:val="24"/>
          <w:szCs w:val="24"/>
        </w:rPr>
        <w:t>Expectation theory is one of the most widely accepted theories concerning consumer satisfaction. The theory holds that satisfaction or dissatisfaction results from a consumer’s comparison of performance (of a product or service) with predetermined standards of performance.</w:t>
      </w:r>
      <w:r>
        <w:rPr>
          <w:rStyle w:val="7"/>
          <w:rFonts w:ascii="Times New Roman" w:hAnsi="Times New Roman" w:cs="Times New Roman"/>
          <w:sz w:val="24"/>
          <w:szCs w:val="24"/>
        </w:rPr>
        <w:footnoteReference w:id="43"/>
      </w:r>
      <w:r>
        <w:rPr>
          <w:rFonts w:ascii="Times New Roman" w:hAnsi="Times New Roman" w:cs="Times New Roman"/>
          <w:sz w:val="24"/>
          <w:szCs w:val="24"/>
        </w:rPr>
        <w:t xml:space="preserve"> According to the view, the predetermined standards are the consumer’s predictive expectations. Three possible outcomes of the comparison are possible. Positive disconfirmation occurs when performance is perceived to be better than the predetermined expectations. In this scenario, consumer is delighted. Zero disconfirmation occurs when performance is perceived to be exactly equal to expectations- consumers are likely to be satisfied. Finally, negative disconfirmation occurs when performance is lower than expectations</w:t>
      </w:r>
      <w:r>
        <w:rPr>
          <w:rStyle w:val="7"/>
          <w:rFonts w:ascii="Times New Roman" w:hAnsi="Times New Roman" w:cs="Times New Roman"/>
          <w:sz w:val="24"/>
          <w:szCs w:val="24"/>
        </w:rPr>
        <w:footnoteReference w:id="44"/>
      </w:r>
      <w:r>
        <w:rPr>
          <w:rFonts w:ascii="Times New Roman" w:hAnsi="Times New Roman" w:cs="Times New Roman"/>
          <w:sz w:val="24"/>
          <w:szCs w:val="24"/>
        </w:rPr>
        <w:t>. Of course, negative disconfirmation leads to dissatisfied or unhappy consumer. This theory provides algorithm for Consumers to identify when they have right(s) and an indication for its enforcement through the provisions of FCCPA.</w:t>
      </w:r>
    </w:p>
    <w:p w14:paraId="62CD9634">
      <w:pPr>
        <w:rPr>
          <w:rFonts w:ascii="Times New Roman" w:hAnsi="Times New Roman" w:eastAsia="Times New Roman" w:cs="Times New Roman"/>
          <w:b/>
          <w:sz w:val="24"/>
          <w:szCs w:val="24"/>
        </w:rPr>
      </w:pPr>
      <w:r>
        <w:rPr>
          <w:rFonts w:ascii="Times New Roman" w:hAnsi="Times New Roman" w:eastAsia="Times New Roman" w:cs="Times New Roman"/>
          <w:b/>
          <w:sz w:val="24"/>
          <w:szCs w:val="24"/>
        </w:rPr>
        <w:br w:type="page"/>
      </w:r>
    </w:p>
    <w:p w14:paraId="44CB6F4D">
      <w:pPr>
        <w:spacing w:after="0" w:line="48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2.1.4 Commercial Nuisance Theory</w:t>
      </w:r>
    </w:p>
    <w:p w14:paraId="681BFDE6">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b/>
          <w:sz w:val="24"/>
          <w:szCs w:val="24"/>
        </w:rPr>
        <w:br w:type="textWrapping"/>
      </w:r>
      <w:r>
        <w:rPr>
          <w:rFonts w:ascii="Times New Roman" w:hAnsi="Times New Roman" w:eastAsia="Times New Roman" w:cs="Times New Roman"/>
          <w:sz w:val="24"/>
          <w:szCs w:val="24"/>
        </w:rPr>
        <w:t>It suggests market regulation to ensure that, due to information asymmetry, individual traders' activities do not obstruct free trade and competition.</w:t>
      </w:r>
      <w:r>
        <w:rPr>
          <w:rStyle w:val="7"/>
          <w:rFonts w:ascii="Times New Roman" w:hAnsi="Times New Roman" w:eastAsia="Times New Roman" w:cs="Times New Roman"/>
          <w:sz w:val="24"/>
          <w:szCs w:val="24"/>
        </w:rPr>
        <w:footnoteReference w:id="45"/>
      </w:r>
      <w:r>
        <w:rPr>
          <w:rFonts w:ascii="Times New Roman" w:hAnsi="Times New Roman" w:eastAsia="Times New Roman" w:cs="Times New Roman"/>
          <w:sz w:val="24"/>
          <w:szCs w:val="24"/>
        </w:rPr>
        <w:t xml:space="preserve"> The bargaining power of both sides is affected by information asymmetry. Due to the consumer's inability to judge the quality of goods, information asymmetry and a process known as "adverse selection" occur, in which good items are pushed out of the market by lower-quality (but cheaper) products due to the consumer's inability to assess the quality of goods. More information does not have to be linked to improved consumer protection. Even well-informed clients make irrational decisions from time to time. There has been a surge in the use of new technology, products, marketing efforts, and other things. This theory gave rise to consumer’s right to information and safety of products under the FCCPA.</w:t>
      </w:r>
    </w:p>
    <w:p w14:paraId="27E1CB98">
      <w:pPr>
        <w:spacing w:after="0" w:line="48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2.1.5 Negotiation Power and Inequality Theory</w:t>
      </w:r>
    </w:p>
    <w:p w14:paraId="6054A20D">
      <w:pPr>
        <w:spacing w:after="0" w:line="480" w:lineRule="auto"/>
        <w:jc w:val="both"/>
        <w:rPr>
          <w:rFonts w:ascii="Times New Roman" w:hAnsi="Times New Roman" w:eastAsia="Times New Roman" w:cs="Times New Roman"/>
          <w:b/>
          <w:color w:val="000000"/>
          <w:sz w:val="24"/>
          <w:szCs w:val="24"/>
        </w:rPr>
      </w:pPr>
      <w:r>
        <w:rPr>
          <w:rFonts w:ascii="Times New Roman" w:hAnsi="Times New Roman" w:eastAsia="Times New Roman" w:cs="Times New Roman"/>
          <w:sz w:val="24"/>
          <w:szCs w:val="24"/>
        </w:rPr>
        <w:t>According to this idea, in a sales transaction, a consumer is regarded to be in a worse economic position than Suppliers due to their poorer bargaining position. The 'Exploitation theory,' which supported the above viewpoint, called for the necessity to safeguard consumers for the following reasons: Buyers will be forced to pay prices set by increasingly large and powerful corporations, and owing to the small amount of purchase and the comparative capacity of the latter to exploit gaps in the knowledge of the buyers due to complexities in the nature of goods and structural aspects of the markets, buyers lack the resources to check sellers' malpractices, the presence of competition in modern marketplaces, as well as government action through the implementation of consumer protection laws.</w:t>
      </w:r>
      <w:r>
        <w:rPr>
          <w:rStyle w:val="7"/>
          <w:rFonts w:ascii="Times New Roman" w:hAnsi="Times New Roman" w:eastAsia="Times New Roman" w:cs="Times New Roman"/>
          <w:sz w:val="24"/>
          <w:szCs w:val="24"/>
        </w:rPr>
        <w:footnoteReference w:id="46"/>
      </w:r>
      <w:r>
        <w:rPr>
          <w:rFonts w:ascii="Times New Roman" w:hAnsi="Times New Roman" w:eastAsia="Times New Roman" w:cs="Times New Roman"/>
          <w:sz w:val="24"/>
          <w:szCs w:val="24"/>
        </w:rPr>
        <w:t xml:space="preserve"> These are some of the major concerns that ignited the government to establish a comprehensive Competition law through FCCPA and the Tribunal for checkmating the actions of the manufacturers and as well protect consumers’ interest. </w:t>
      </w:r>
      <w:r>
        <w:rPr>
          <w:rFonts w:ascii="Times New Roman" w:hAnsi="Times New Roman" w:eastAsia="Times New Roman" w:cs="Times New Roman"/>
          <w:sz w:val="24"/>
          <w:szCs w:val="24"/>
        </w:rPr>
        <w:br w:type="textWrapping"/>
      </w:r>
      <w:r>
        <w:rPr>
          <w:rFonts w:ascii="Times New Roman" w:hAnsi="Times New Roman" w:eastAsia="Times New Roman" w:cs="Times New Roman"/>
          <w:b/>
          <w:color w:val="000000"/>
          <w:sz w:val="24"/>
          <w:szCs w:val="24"/>
        </w:rPr>
        <w:t>2.2.0 Conceptual Framework</w:t>
      </w:r>
    </w:p>
    <w:p w14:paraId="4E28AB7F">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The conceptual framework of this study is broadly rooted under Competitive Law and Consumer Protection Law.</w:t>
      </w:r>
    </w:p>
    <w:p w14:paraId="0FD9273B">
      <w:pPr>
        <w:spacing w:after="0" w:line="480" w:lineRule="auto"/>
        <w:jc w:val="both"/>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2.2.1 Competition Law</w:t>
      </w:r>
    </w:p>
    <w:p w14:paraId="342F9254">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The history of competition law can be traced to the efforts of Roman legislators to control price fluctuations and unfair trade practices.</w:t>
      </w:r>
      <w:r>
        <w:rPr>
          <w:rStyle w:val="7"/>
          <w:rFonts w:ascii="Times New Roman" w:hAnsi="Times New Roman" w:eastAsia="Times New Roman" w:cs="Times New Roman"/>
          <w:color w:val="000000"/>
          <w:sz w:val="24"/>
          <w:szCs w:val="24"/>
        </w:rPr>
        <w:footnoteReference w:id="47"/>
      </w:r>
      <w:r>
        <w:rPr>
          <w:rFonts w:ascii="Times New Roman" w:hAnsi="Times New Roman" w:eastAsia="Times New Roman" w:cs="Times New Roman"/>
          <w:color w:val="000000"/>
          <w:sz w:val="24"/>
          <w:szCs w:val="24"/>
        </w:rPr>
        <w:t xml:space="preserve"> Under Diocletian in </w:t>
      </w:r>
      <w:r>
        <w:rPr>
          <w:rFonts w:ascii="Times New Roman" w:hAnsi="Times New Roman" w:eastAsia="Times New Roman" w:cs="Times New Roman"/>
          <w:bCs/>
          <w:color w:val="000000"/>
          <w:sz w:val="24"/>
          <w:szCs w:val="24"/>
        </w:rPr>
        <w:t xml:space="preserve">301 AD </w:t>
      </w:r>
      <w:r>
        <w:rPr>
          <w:rFonts w:ascii="Times New Roman" w:hAnsi="Times New Roman" w:eastAsia="Times New Roman" w:cs="Times New Roman"/>
          <w:color w:val="000000"/>
          <w:sz w:val="24"/>
          <w:szCs w:val="24"/>
        </w:rPr>
        <w:t xml:space="preserve">an edict on maximum prices delineating offences and a death penalty for anyone violating a tariff system was promulgated. </w:t>
      </w:r>
    </w:p>
    <w:p w14:paraId="3566F1F1">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Some of the offences included buying up, concealing and contriving the scarcity of every day goods. In </w:t>
      </w:r>
      <w:r>
        <w:rPr>
          <w:rFonts w:ascii="Times New Roman" w:hAnsi="Times New Roman" w:eastAsia="Times New Roman" w:cs="Times New Roman"/>
          <w:bCs/>
          <w:color w:val="000000"/>
          <w:sz w:val="24"/>
          <w:szCs w:val="24"/>
        </w:rPr>
        <w:t>483 AD</w:t>
      </w:r>
      <w:r>
        <w:rPr>
          <w:rFonts w:ascii="Times New Roman" w:hAnsi="Times New Roman" w:eastAsia="Times New Roman" w:cs="Times New Roman"/>
          <w:color w:val="000000"/>
          <w:sz w:val="24"/>
          <w:szCs w:val="24"/>
        </w:rPr>
        <w:t>, the constitution of Zeno provided for property confiscation and banishment for any trade combinations or joint action of monopolies private or granted by the emperor. Zeno rescinded all previously granted exclusive rights. Justinian I also introduced legislation not long after to pay officials to manage state monopolies. As Europe slipped into the Dark Ages, so did the records of law making until the Middle Ages brought greater expansions of trade during the era of merchant law.</w:t>
      </w:r>
      <w:r>
        <w:rPr>
          <w:rStyle w:val="7"/>
          <w:rFonts w:ascii="Times New Roman" w:hAnsi="Times New Roman" w:eastAsia="Times New Roman" w:cs="Times New Roman"/>
          <w:color w:val="000000"/>
          <w:sz w:val="24"/>
          <w:szCs w:val="24"/>
        </w:rPr>
        <w:footnoteReference w:id="48"/>
      </w:r>
      <w:r>
        <w:rPr>
          <w:rFonts w:ascii="Times New Roman" w:hAnsi="Times New Roman" w:eastAsia="Times New Roman" w:cs="Times New Roman"/>
          <w:color w:val="000000"/>
          <w:sz w:val="24"/>
          <w:szCs w:val="24"/>
        </w:rPr>
        <w:t xml:space="preserve"> The advent of modern competition law originates from the English common law doctrine of restraint of trade.</w:t>
      </w:r>
      <w:r>
        <w:rPr>
          <w:rStyle w:val="7"/>
          <w:rFonts w:ascii="Times New Roman" w:hAnsi="Times New Roman" w:eastAsia="Times New Roman" w:cs="Times New Roman"/>
          <w:color w:val="000000"/>
          <w:sz w:val="24"/>
          <w:szCs w:val="24"/>
        </w:rPr>
        <w:footnoteReference w:id="49"/>
      </w:r>
      <w:r>
        <w:rPr>
          <w:rFonts w:ascii="Times New Roman" w:hAnsi="Times New Roman" w:eastAsia="Times New Roman" w:cs="Times New Roman"/>
          <w:color w:val="000000"/>
          <w:sz w:val="24"/>
          <w:szCs w:val="24"/>
        </w:rPr>
        <w:t xml:space="preserve"> In Britain, the celebrated case of </w:t>
      </w:r>
      <w:r>
        <w:rPr>
          <w:rFonts w:ascii="Times New Roman" w:hAnsi="Times New Roman" w:eastAsia="Times New Roman" w:cs="Times New Roman"/>
          <w:i/>
          <w:iCs/>
          <w:color w:val="000000"/>
          <w:sz w:val="24"/>
          <w:szCs w:val="24"/>
        </w:rPr>
        <w:t>Dyer</w:t>
      </w:r>
      <w:r>
        <w:rPr>
          <w:rStyle w:val="7"/>
          <w:rFonts w:ascii="Times New Roman" w:hAnsi="Times New Roman" w:eastAsia="Times New Roman" w:cs="Times New Roman"/>
          <w:i/>
          <w:iCs/>
          <w:color w:val="000000"/>
          <w:sz w:val="24"/>
          <w:szCs w:val="24"/>
        </w:rPr>
        <w:footnoteReference w:id="50"/>
      </w:r>
      <w:r>
        <w:rPr>
          <w:rFonts w:ascii="Times New Roman" w:hAnsi="Times New Roman" w:eastAsia="Times New Roman" w:cs="Times New Roman"/>
          <w:i/>
          <w:iCs/>
          <w:color w:val="000000"/>
          <w:sz w:val="24"/>
          <w:szCs w:val="24"/>
        </w:rPr>
        <w:t xml:space="preserve"> </w:t>
      </w:r>
      <w:r>
        <w:rPr>
          <w:rFonts w:ascii="Times New Roman" w:hAnsi="Times New Roman" w:eastAsia="Times New Roman" w:cs="Times New Roman"/>
          <w:color w:val="000000"/>
          <w:sz w:val="24"/>
          <w:szCs w:val="24"/>
        </w:rPr>
        <w:t xml:space="preserve">in </w:t>
      </w:r>
      <w:r>
        <w:rPr>
          <w:rFonts w:ascii="Times New Roman" w:hAnsi="Times New Roman" w:eastAsia="Times New Roman" w:cs="Times New Roman"/>
          <w:bCs/>
          <w:color w:val="000000"/>
          <w:sz w:val="24"/>
          <w:szCs w:val="24"/>
        </w:rPr>
        <w:t xml:space="preserve">1414 </w:t>
      </w:r>
      <w:r>
        <w:rPr>
          <w:rFonts w:ascii="Times New Roman" w:hAnsi="Times New Roman" w:eastAsia="Times New Roman" w:cs="Times New Roman"/>
          <w:color w:val="000000"/>
          <w:sz w:val="24"/>
          <w:szCs w:val="24"/>
        </w:rPr>
        <w:t>laid the blue print for competition law. This case emphasized the unenforceability of contracts in restraint of trade as anti-competition. John, the Dyer, had sought to enforce a writ against a colleague who had covenanted not to practice the craft of dyeing in the same town as John Dyer for half a year. Fortunately for Dyer he was not in court when the case was heard, for the judge held that the provision was against the common law ―and by God, if the plaintiff was here, he should go to prison.</w:t>
      </w:r>
    </w:p>
    <w:p w14:paraId="6425DC0B">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 </w:t>
      </w:r>
    </w:p>
    <w:p w14:paraId="66F9938B">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The rule that covenants in restraint of trade were not enforceable remained in place until the beginning of the 17th century, at which time added flexibility was introduced to accommodate changing circumstances. The latter case of </w:t>
      </w:r>
      <w:r>
        <w:rPr>
          <w:rFonts w:ascii="Times New Roman" w:hAnsi="Times New Roman" w:eastAsia="Times New Roman" w:cs="Times New Roman"/>
          <w:i/>
          <w:iCs/>
          <w:color w:val="000000"/>
          <w:sz w:val="24"/>
          <w:szCs w:val="24"/>
        </w:rPr>
        <w:t>Darcy v Allin</w:t>
      </w:r>
      <w:r>
        <w:rPr>
          <w:rStyle w:val="7"/>
          <w:rFonts w:ascii="Times New Roman" w:hAnsi="Times New Roman" w:eastAsia="Times New Roman" w:cs="Times New Roman"/>
          <w:i/>
          <w:iCs/>
          <w:color w:val="000000"/>
          <w:sz w:val="24"/>
          <w:szCs w:val="24"/>
        </w:rPr>
        <w:footnoteReference w:id="51"/>
      </w:r>
      <w:r>
        <w:rPr>
          <w:rFonts w:ascii="Times New Roman" w:hAnsi="Times New Roman" w:eastAsia="Times New Roman" w:cs="Times New Roman"/>
          <w:i/>
          <w:iCs/>
          <w:color w:val="000000"/>
          <w:sz w:val="24"/>
          <w:szCs w:val="24"/>
        </w:rPr>
        <w:t xml:space="preserve"> </w:t>
      </w:r>
      <w:r>
        <w:rPr>
          <w:rFonts w:ascii="Times New Roman" w:hAnsi="Times New Roman" w:eastAsia="Times New Roman" w:cs="Times New Roman"/>
          <w:color w:val="000000"/>
          <w:sz w:val="24"/>
          <w:szCs w:val="24"/>
        </w:rPr>
        <w:t xml:space="preserve">decided in </w:t>
      </w:r>
      <w:r>
        <w:rPr>
          <w:rFonts w:ascii="Times New Roman" w:hAnsi="Times New Roman" w:eastAsia="Times New Roman" w:cs="Times New Roman"/>
          <w:bCs/>
          <w:color w:val="000000"/>
          <w:sz w:val="24"/>
          <w:szCs w:val="24"/>
        </w:rPr>
        <w:t>1602</w:t>
      </w:r>
      <w:r>
        <w:rPr>
          <w:rFonts w:ascii="Times New Roman" w:hAnsi="Times New Roman" w:eastAsia="Times New Roman" w:cs="Times New Roman"/>
          <w:b/>
          <w:bCs/>
          <w:color w:val="000000"/>
          <w:sz w:val="24"/>
          <w:szCs w:val="24"/>
        </w:rPr>
        <w:t xml:space="preserve"> </w:t>
      </w:r>
      <w:r>
        <w:rPr>
          <w:rFonts w:ascii="Times New Roman" w:hAnsi="Times New Roman" w:eastAsia="Times New Roman" w:cs="Times New Roman"/>
          <w:color w:val="000000"/>
          <w:sz w:val="24"/>
          <w:szCs w:val="24"/>
        </w:rPr>
        <w:t xml:space="preserve">signaled a significant shift in the development of competition law in Britain, with emphasis on the prevention of monopolies in the market place. This grew out of the codifications of the United States Antitrust Statutes which in turn had considerable influence on the development of </w:t>
      </w:r>
      <w:r>
        <w:rPr>
          <w:rFonts w:ascii="Times New Roman" w:hAnsi="Times New Roman" w:eastAsia="Times New Roman" w:cs="Times New Roman"/>
          <w:sz w:val="24"/>
          <w:szCs w:val="24"/>
        </w:rPr>
        <w:t>European</w:t>
      </w:r>
      <w:r>
        <w:rPr>
          <w:rFonts w:ascii="Times New Roman" w:hAnsi="Times New Roman" w:eastAsia="Times New Roman" w:cs="Times New Roman"/>
          <w:color w:val="000000"/>
          <w:sz w:val="24"/>
          <w:szCs w:val="24"/>
        </w:rPr>
        <w:t xml:space="preserve"> Community competition laws after the Second World War. </w:t>
      </w:r>
    </w:p>
    <w:p w14:paraId="673B33BC">
      <w:pPr>
        <w:spacing w:after="0" w:line="480" w:lineRule="auto"/>
        <w:jc w:val="both"/>
        <w:rPr>
          <w:rFonts w:ascii="Times New Roman" w:hAnsi="Times New Roman" w:eastAsia="Times New Roman" w:cs="Times New Roman"/>
          <w:sz w:val="24"/>
          <w:szCs w:val="24"/>
        </w:rPr>
      </w:pPr>
    </w:p>
    <w:p w14:paraId="1E5BCA56">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iCs/>
          <w:color w:val="000000"/>
          <w:sz w:val="24"/>
          <w:szCs w:val="24"/>
        </w:rPr>
        <w:t xml:space="preserve">In </w:t>
      </w:r>
      <w:r>
        <w:rPr>
          <w:rFonts w:ascii="Times New Roman" w:hAnsi="Times New Roman" w:eastAsia="Times New Roman" w:cs="Times New Roman"/>
          <w:i/>
          <w:iCs/>
          <w:color w:val="000000"/>
          <w:sz w:val="24"/>
          <w:szCs w:val="24"/>
        </w:rPr>
        <w:t>Standard Oil Co of New Jersey v the United States</w:t>
      </w:r>
      <w:r>
        <w:rPr>
          <w:rFonts w:ascii="Times New Roman" w:hAnsi="Times New Roman" w:eastAsia="Times New Roman" w:cs="Times New Roman"/>
          <w:color w:val="000000"/>
          <w:sz w:val="24"/>
          <w:szCs w:val="24"/>
        </w:rPr>
        <w:t>,</w:t>
      </w:r>
      <w:r>
        <w:rPr>
          <w:rStyle w:val="7"/>
          <w:rFonts w:ascii="Times New Roman" w:hAnsi="Times New Roman" w:eastAsia="Times New Roman" w:cs="Times New Roman"/>
          <w:color w:val="000000"/>
          <w:sz w:val="24"/>
          <w:szCs w:val="24"/>
        </w:rPr>
        <w:footnoteReference w:id="52"/>
      </w:r>
      <w:r>
        <w:rPr>
          <w:rFonts w:ascii="Times New Roman" w:hAnsi="Times New Roman" w:eastAsia="Times New Roman" w:cs="Times New Roman"/>
          <w:color w:val="000000"/>
          <w:sz w:val="24"/>
          <w:szCs w:val="24"/>
        </w:rPr>
        <w:t xml:space="preserve">  where the defendants faced charges of conspiring to restrain trade and establish a monopoly in the petroleum products sector. The court deemed that contracts in restraint of trade were illegal only if they contained unreasonable restraints of trade, and it found the defendants guilty as they operated unreasonably.</w:t>
      </w:r>
    </w:p>
    <w:p w14:paraId="6F29FE6E">
      <w:pPr>
        <w:spacing w:after="0" w:line="480" w:lineRule="auto"/>
        <w:jc w:val="both"/>
        <w:rPr>
          <w:rFonts w:ascii="Times New Roman" w:hAnsi="Times New Roman" w:eastAsia="Times New Roman" w:cs="Times New Roman"/>
          <w:color w:val="000000"/>
          <w:sz w:val="24"/>
          <w:szCs w:val="24"/>
        </w:rPr>
      </w:pPr>
    </w:p>
    <w:p w14:paraId="14989106">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bCs/>
          <w:iCs/>
          <w:color w:val="000000"/>
          <w:sz w:val="24"/>
          <w:szCs w:val="24"/>
        </w:rPr>
        <w:t xml:space="preserve">In </w:t>
      </w:r>
      <w:r>
        <w:rPr>
          <w:rFonts w:ascii="Times New Roman" w:hAnsi="Times New Roman" w:eastAsia="Times New Roman" w:cs="Times New Roman"/>
          <w:bCs/>
          <w:i/>
          <w:iCs/>
          <w:color w:val="000000"/>
          <w:sz w:val="24"/>
          <w:szCs w:val="24"/>
        </w:rPr>
        <w:t>Builders Association of India v Cement Manufacturer’s Association and Ors,</w:t>
      </w:r>
      <w:r>
        <w:rPr>
          <w:rStyle w:val="7"/>
          <w:rFonts w:ascii="Times New Roman" w:hAnsi="Times New Roman" w:eastAsia="Times New Roman" w:cs="Times New Roman"/>
          <w:bCs/>
          <w:i/>
          <w:iCs/>
          <w:color w:val="000000"/>
          <w:sz w:val="24"/>
          <w:szCs w:val="24"/>
        </w:rPr>
        <w:footnoteReference w:id="53"/>
      </w:r>
      <w:r>
        <w:rPr>
          <w:rFonts w:ascii="Times New Roman" w:hAnsi="Times New Roman" w:eastAsia="Times New Roman" w:cs="Times New Roman"/>
          <w:bCs/>
          <w:color w:val="000000"/>
          <w:sz w:val="24"/>
          <w:szCs w:val="24"/>
        </w:rPr>
        <w:t xml:space="preserve"> </w:t>
      </w:r>
      <w:r>
        <w:rPr>
          <w:rFonts w:ascii="Times New Roman" w:hAnsi="Times New Roman" w:eastAsia="Times New Roman" w:cs="Times New Roman"/>
          <w:color w:val="000000"/>
          <w:sz w:val="24"/>
          <w:szCs w:val="24"/>
        </w:rPr>
        <w:t>the informant, a society registered under the Societies Registration Act, 1860 was an association of builders and other entities involved in the business of construction. The Opposite Party-1 (OP-1) was an association of the cement manufacturers of India in which both public- and private-sector cement units were members. The informant had submitted that cement manufacturers, were members of OP-1 and were the leading manufacturers, distributors and sellers of cement in India. According to the informant, the respondent cement manufacturers under the umbrella of OP-1 indulged directly and indirectly in monopolistic and restrictive trade practices, in an effort to control the price of cement by limiting and restricting the production and supply of cement as against the available capacity of production. The Competition Commission of India</w:t>
      </w:r>
      <w:r>
        <w:rPr>
          <w:rStyle w:val="7"/>
          <w:rFonts w:ascii="Times New Roman" w:hAnsi="Times New Roman" w:eastAsia="Times New Roman" w:cs="Times New Roman"/>
          <w:color w:val="000000"/>
          <w:sz w:val="24"/>
          <w:szCs w:val="24"/>
        </w:rPr>
        <w:footnoteReference w:id="54"/>
      </w:r>
      <w:r>
        <w:rPr>
          <w:rFonts w:ascii="Times New Roman" w:hAnsi="Times New Roman" w:eastAsia="Times New Roman" w:cs="Times New Roman"/>
          <w:color w:val="000000"/>
          <w:sz w:val="24"/>
          <w:szCs w:val="24"/>
        </w:rPr>
        <w:t xml:space="preserve"> found the Opposite Parties (OPs) in contravention of section 3(3)(a) and 3(3)(b), read with section 3(1) of the Act. The Competition Commission of India (CCI) imposed a penalty of 0.5 times net profit for the periods 2009–10 and 2010–11 in case of each OP.</w:t>
      </w:r>
    </w:p>
    <w:p w14:paraId="7BD0C31E">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bCs/>
          <w:iCs/>
          <w:color w:val="000000"/>
          <w:sz w:val="24"/>
          <w:szCs w:val="24"/>
        </w:rPr>
        <w:t xml:space="preserve">In another India case, </w:t>
      </w:r>
      <w:r>
        <w:rPr>
          <w:rFonts w:ascii="Times New Roman" w:hAnsi="Times New Roman" w:eastAsia="Times New Roman" w:cs="Times New Roman"/>
          <w:bCs/>
          <w:i/>
          <w:iCs/>
          <w:color w:val="000000"/>
          <w:sz w:val="24"/>
          <w:szCs w:val="24"/>
        </w:rPr>
        <w:t xml:space="preserve">Multiplex Association of India Federation House v United Producers/ </w:t>
      </w:r>
    </w:p>
    <w:p w14:paraId="47568FE0">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bCs/>
          <w:i/>
          <w:iCs/>
          <w:color w:val="000000"/>
          <w:sz w:val="24"/>
          <w:szCs w:val="24"/>
        </w:rPr>
        <w:t>Distributors &amp; Ors</w:t>
      </w:r>
      <w:r>
        <w:rPr>
          <w:rStyle w:val="7"/>
          <w:rFonts w:ascii="Times New Roman" w:hAnsi="Times New Roman" w:eastAsia="Times New Roman" w:cs="Times New Roman"/>
          <w:bCs/>
          <w:i/>
          <w:iCs/>
          <w:color w:val="000000"/>
          <w:sz w:val="24"/>
          <w:szCs w:val="24"/>
        </w:rPr>
        <w:footnoteReference w:id="55"/>
      </w:r>
      <w:r>
        <w:rPr>
          <w:rFonts w:ascii="Times New Roman" w:hAnsi="Times New Roman" w:eastAsia="Times New Roman" w:cs="Times New Roman"/>
          <w:bCs/>
          <w:color w:val="000000"/>
          <w:sz w:val="24"/>
          <w:szCs w:val="24"/>
        </w:rPr>
        <w:t xml:space="preserve"> (FICCI – Multiplex Association of India), t</w:t>
      </w:r>
      <w:r>
        <w:rPr>
          <w:rFonts w:ascii="Times New Roman" w:hAnsi="Times New Roman" w:eastAsia="Times New Roman" w:cs="Times New Roman"/>
          <w:color w:val="000000"/>
          <w:sz w:val="24"/>
          <w:szCs w:val="24"/>
        </w:rPr>
        <w:t xml:space="preserve">he informant, FICCI-Multiplex Association of India, alleged that the respondents, namely </w:t>
      </w:r>
    </w:p>
    <w:p w14:paraId="1E58CF45">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United Producers/Distributors Forum (UPDF), the Association of Motion Pictures and TV </w:t>
      </w:r>
    </w:p>
    <w:p w14:paraId="663A9A87">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Programme Producers (AMPTPP) and the Film and Television Producers Guild of India Ltd </w:t>
      </w:r>
    </w:p>
    <w:p w14:paraId="7A77D500">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(FTPGI), were behaving like a cartel. The informant alleged that UPDF was an association of film producers and distributors which included both corporate houses and individuals independent film producers and distributors. AMPTPP and FTPGI were members of UPDF. </w:t>
      </w:r>
    </w:p>
    <w:p w14:paraId="7FF02D83">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It was further alleged that UPDF, AMPTPP and FTPGI produced and distributed almost 100% of the Hindi Films produced/supplied/distributed in India and thereby exercised almost complete control over the Indian film industry. It was further alleged that UPDF via their notice dated 27 March 2009 had instructed all producers and distributors including those who were not members of UPDF, not to release any new film to the members of the informant for the purposes of exhibition at the multiplexes operated by the members of the informant. It had been further informed that being aggrieved by the decision of UPDF, various members had approached the informant and sought its assistance. The CCI, after considering the contentions of the OPs on merit and after elaborate discussion, ruled that the OPs had contravened the provisions of section 3(3)(a) and 3(3)(b) of the Competition Act. </w:t>
      </w:r>
    </w:p>
    <w:p w14:paraId="5CA25BC4">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The CCI imposed penalties on each of the 27 OPs. </w:t>
      </w:r>
    </w:p>
    <w:p w14:paraId="7457A740">
      <w:pPr>
        <w:spacing w:after="0" w:line="480" w:lineRule="auto"/>
        <w:jc w:val="both"/>
        <w:rPr>
          <w:rFonts w:ascii="Times New Roman" w:hAnsi="Times New Roman" w:eastAsia="Times New Roman" w:cs="Times New Roman"/>
          <w:sz w:val="24"/>
          <w:szCs w:val="24"/>
        </w:rPr>
      </w:pPr>
    </w:p>
    <w:p w14:paraId="537C77DA">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bCs/>
          <w:iCs/>
          <w:color w:val="000000"/>
          <w:sz w:val="24"/>
          <w:szCs w:val="24"/>
        </w:rPr>
        <w:t xml:space="preserve">However, in </w:t>
      </w:r>
      <w:r>
        <w:rPr>
          <w:rFonts w:ascii="Times New Roman" w:hAnsi="Times New Roman" w:eastAsia="Times New Roman" w:cs="Times New Roman"/>
          <w:bCs/>
          <w:i/>
          <w:iCs/>
          <w:color w:val="000000"/>
          <w:sz w:val="24"/>
          <w:szCs w:val="24"/>
        </w:rPr>
        <w:t>All India Tyre Dealers’ Federation (AITDF) v Tyre Manufacturers</w:t>
      </w:r>
      <w:r>
        <w:rPr>
          <w:rStyle w:val="7"/>
          <w:rFonts w:ascii="Times New Roman" w:hAnsi="Times New Roman" w:eastAsia="Times New Roman" w:cs="Times New Roman"/>
          <w:bCs/>
          <w:i/>
          <w:iCs/>
          <w:color w:val="000000"/>
          <w:sz w:val="24"/>
          <w:szCs w:val="24"/>
        </w:rPr>
        <w:footnoteReference w:id="56"/>
      </w:r>
      <w:r>
        <w:rPr>
          <w:rFonts w:ascii="Times New Roman" w:hAnsi="Times New Roman" w:eastAsia="Times New Roman" w:cs="Times New Roman"/>
          <w:bCs/>
          <w:color w:val="000000"/>
          <w:sz w:val="24"/>
          <w:szCs w:val="24"/>
        </w:rPr>
        <w:t xml:space="preserve"> (Tyre Dealers </w:t>
      </w:r>
      <w:r>
        <w:rPr>
          <w:rFonts w:ascii="Times New Roman" w:hAnsi="Times New Roman" w:eastAsia="Times New Roman" w:cs="Times New Roman"/>
          <w:color w:val="000000"/>
          <w:sz w:val="24"/>
          <w:szCs w:val="24"/>
        </w:rPr>
        <w:t xml:space="preserve">161 </w:t>
      </w:r>
      <w:r>
        <w:rPr>
          <w:rFonts w:ascii="Times New Roman" w:hAnsi="Times New Roman" w:eastAsia="Times New Roman" w:cs="Times New Roman"/>
          <w:bCs/>
          <w:color w:val="000000"/>
          <w:sz w:val="24"/>
          <w:szCs w:val="24"/>
        </w:rPr>
        <w:t xml:space="preserve">Federation), </w:t>
      </w:r>
      <w:r>
        <w:rPr>
          <w:rFonts w:ascii="Times New Roman" w:hAnsi="Times New Roman" w:eastAsia="Times New Roman" w:cs="Times New Roman"/>
          <w:sz w:val="24"/>
          <w:szCs w:val="24"/>
        </w:rPr>
        <w:t>t</w:t>
      </w:r>
      <w:r>
        <w:rPr>
          <w:rFonts w:ascii="Times New Roman" w:hAnsi="Times New Roman" w:eastAsia="Times New Roman" w:cs="Times New Roman"/>
          <w:color w:val="000000"/>
          <w:sz w:val="24"/>
          <w:szCs w:val="24"/>
        </w:rPr>
        <w:t>he information was originally filed by the All India Tyre Dealers’ Federation (AITDF) against the tyre manufacturers before the Ministry of Corporate Affairs and the same was forwarded by the MRTPC. Consequent upon the repeal of the Monopolistic and Restrictive Trade Practices (MRTP) Act, the matter stood transferred to the CCI under section 66(6) of the Competition Act. In the said information dated 28 December 2007, AITDF alleged that the tyre manufacturers were indulging in anti-competitive activities. The CCI took into consideration the conduct of the tyre companies/ATMA, and found that on a superficial basis the industry displayed some characteristics of a cartel but that there was no substantive evidence of the existence of a cartel. The CCI held that the available evidence did not give enough proof that tyre companies and associations acting together had limited and controlled the production and price of tyres in the market in India. The CCI found that there was not sufficient evidence to hold a violation by the tyre companies of section 3(3)(a) and 3(3)(b) read with section 3(1) of the Competition Act.</w:t>
      </w:r>
    </w:p>
    <w:p w14:paraId="6CD55C74">
      <w:pPr>
        <w:spacing w:after="0" w:line="480" w:lineRule="auto"/>
        <w:jc w:val="both"/>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2.2.2</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Nature of Competition</w:t>
      </w:r>
    </w:p>
    <w:p w14:paraId="088C3B31">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The nature of competition is broadly categorized into two namely: Fair Competition and Unfair Competition. </w:t>
      </w:r>
      <w:r>
        <w:rPr>
          <w:rFonts w:ascii="Times New Roman" w:hAnsi="Times New Roman" w:eastAsia="Times New Roman" w:cs="Times New Roman"/>
          <w:iCs/>
          <w:color w:val="000000"/>
          <w:sz w:val="24"/>
          <w:szCs w:val="24"/>
        </w:rPr>
        <w:t>Fair</w:t>
      </w:r>
      <w:r>
        <w:rPr>
          <w:rFonts w:ascii="Times New Roman" w:hAnsi="Times New Roman" w:eastAsia="Times New Roman" w:cs="Times New Roman"/>
          <w:b/>
          <w:iCs/>
          <w:color w:val="000000"/>
          <w:sz w:val="24"/>
          <w:szCs w:val="24"/>
        </w:rPr>
        <w:t xml:space="preserve"> </w:t>
      </w:r>
      <w:r>
        <w:rPr>
          <w:rFonts w:ascii="Times New Roman" w:hAnsi="Times New Roman" w:eastAsia="Times New Roman" w:cs="Times New Roman"/>
          <w:iCs/>
          <w:color w:val="000000"/>
          <w:sz w:val="24"/>
          <w:szCs w:val="24"/>
        </w:rPr>
        <w:t>Competition</w:t>
      </w:r>
      <w:r>
        <w:rPr>
          <w:rFonts w:ascii="Times New Roman" w:hAnsi="Times New Roman" w:eastAsia="Times New Roman" w:cs="Times New Roman"/>
          <w:i/>
          <w:iCs/>
          <w:color w:val="000000"/>
          <w:sz w:val="24"/>
          <w:szCs w:val="24"/>
        </w:rPr>
        <w:t xml:space="preserve"> </w:t>
      </w:r>
      <w:r>
        <w:rPr>
          <w:rFonts w:ascii="Times New Roman" w:hAnsi="Times New Roman" w:eastAsia="Times New Roman" w:cs="Times New Roman"/>
          <w:color w:val="000000"/>
          <w:sz w:val="24"/>
          <w:szCs w:val="24"/>
        </w:rPr>
        <w:t xml:space="preserve">relates to the adoption of fair means by firms, such as producing quality goods, becoming cost-efficient, optimising the use of resources, adopting the best available technology, and investing in research and development. Unfair Competition on the other hand relates to the adoption of unfair means such as fixing prices with the rivals, setting a price which is lower than cost in order to throw out competitors from the market, and advertising that belittles others‘ products. </w:t>
      </w:r>
    </w:p>
    <w:p w14:paraId="7DAFF2AB">
      <w:pPr>
        <w:spacing w:after="0" w:line="480" w:lineRule="auto"/>
        <w:jc w:val="both"/>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 xml:space="preserve">2.2.3 Types of Competition </w:t>
      </w:r>
    </w:p>
    <w:p w14:paraId="760E7EC9">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Broadly, there are two types of competition namely:</w:t>
      </w:r>
    </w:p>
    <w:p w14:paraId="3B1A4215">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 i. </w:t>
      </w:r>
      <w:r>
        <w:rPr>
          <w:rFonts w:ascii="Times New Roman" w:hAnsi="Times New Roman" w:eastAsia="Times New Roman" w:cs="Times New Roman"/>
          <w:b/>
          <w:iCs/>
          <w:color w:val="000000"/>
          <w:sz w:val="24"/>
          <w:szCs w:val="24"/>
        </w:rPr>
        <w:t>Price Competition:</w:t>
      </w:r>
      <w:r>
        <w:rPr>
          <w:rFonts w:ascii="Times New Roman" w:hAnsi="Times New Roman" w:eastAsia="Times New Roman" w:cs="Times New Roman"/>
          <w:i/>
          <w:iCs/>
          <w:color w:val="000000"/>
          <w:sz w:val="24"/>
          <w:szCs w:val="24"/>
        </w:rPr>
        <w:t xml:space="preserve"> </w:t>
      </w:r>
      <w:r>
        <w:rPr>
          <w:rFonts w:ascii="Times New Roman" w:hAnsi="Times New Roman" w:eastAsia="Times New Roman" w:cs="Times New Roman"/>
          <w:color w:val="000000"/>
          <w:sz w:val="24"/>
          <w:szCs w:val="24"/>
        </w:rPr>
        <w:t>This is a form of competition among suppliers where the suppliers try to win customers by offering them a product at a price which is lower than their competitors’ price. Lowering down of price is expected to bring about an increase in the market share of the lower priced product.</w:t>
      </w:r>
      <w:r>
        <w:rPr>
          <w:rStyle w:val="7"/>
          <w:rFonts w:ascii="Times New Roman" w:hAnsi="Times New Roman" w:eastAsia="Times New Roman" w:cs="Times New Roman"/>
          <w:color w:val="000000"/>
          <w:sz w:val="24"/>
          <w:szCs w:val="24"/>
        </w:rPr>
        <w:footnoteReference w:id="57"/>
      </w:r>
      <w:r>
        <w:rPr>
          <w:rFonts w:ascii="Times New Roman" w:hAnsi="Times New Roman" w:eastAsia="Times New Roman" w:cs="Times New Roman"/>
          <w:color w:val="000000"/>
          <w:sz w:val="24"/>
          <w:szCs w:val="24"/>
        </w:rPr>
        <w:t xml:space="preserve"> But this strategy may not click for those customers who are loyal to any particular brand and are not price conscious.</w:t>
      </w:r>
    </w:p>
    <w:p w14:paraId="04D50041">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 </w:t>
      </w:r>
    </w:p>
    <w:p w14:paraId="58210E0B">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ii</w:t>
      </w:r>
      <w:r>
        <w:rPr>
          <w:rFonts w:ascii="Times New Roman" w:hAnsi="Times New Roman" w:eastAsia="Times New Roman" w:cs="Times New Roman"/>
          <w:b/>
          <w:i/>
          <w:color w:val="000000"/>
          <w:sz w:val="24"/>
          <w:szCs w:val="24"/>
        </w:rPr>
        <w:t xml:space="preserve">. </w:t>
      </w:r>
      <w:r>
        <w:rPr>
          <w:rFonts w:ascii="Times New Roman" w:hAnsi="Times New Roman" w:eastAsia="Times New Roman" w:cs="Times New Roman"/>
          <w:b/>
          <w:iCs/>
          <w:color w:val="000000"/>
          <w:sz w:val="24"/>
          <w:szCs w:val="24"/>
        </w:rPr>
        <w:t>Non-price Competition:</w:t>
      </w:r>
      <w:r>
        <w:rPr>
          <w:rFonts w:ascii="Times New Roman" w:hAnsi="Times New Roman" w:eastAsia="Times New Roman" w:cs="Times New Roman"/>
          <w:i/>
          <w:iCs/>
          <w:color w:val="000000"/>
          <w:sz w:val="24"/>
          <w:szCs w:val="24"/>
        </w:rPr>
        <w:t xml:space="preserve"> </w:t>
      </w:r>
      <w:r>
        <w:rPr>
          <w:rFonts w:ascii="Times New Roman" w:hAnsi="Times New Roman" w:eastAsia="Times New Roman" w:cs="Times New Roman"/>
          <w:color w:val="000000"/>
          <w:sz w:val="24"/>
          <w:szCs w:val="24"/>
        </w:rPr>
        <w:t>This is a form of competition among suppliers where they try to win customers not by lowering price but by advertising, offering after-sales-service, using sales-promotion tools and et cetera.</w:t>
      </w:r>
    </w:p>
    <w:p w14:paraId="2B003D0F">
      <w:pPr>
        <w:spacing w:after="0" w:line="480" w:lineRule="auto"/>
        <w:jc w:val="both"/>
        <w:rPr>
          <w:rFonts w:ascii="Times New Roman" w:hAnsi="Times New Roman" w:eastAsia="Times New Roman" w:cs="Times New Roman"/>
          <w:b/>
          <w:bCs/>
          <w:color w:val="000000"/>
          <w:sz w:val="24"/>
          <w:szCs w:val="24"/>
        </w:rPr>
      </w:pP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bCs/>
          <w:color w:val="000000"/>
          <w:sz w:val="24"/>
          <w:szCs w:val="24"/>
        </w:rPr>
        <w:t>2.2.4 Different Forms of Competition in the Market</w:t>
      </w:r>
    </w:p>
    <w:p w14:paraId="08A6A125">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Forms of competition in the market can be distinguished according to the structural characteristics of the market. Amongst these characteristics are the number of sellers and buyers, the type of goods produced and the nature of entry barriers. </w:t>
      </w:r>
    </w:p>
    <w:p w14:paraId="7C939BCC">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Generally, there are four forms of market and the associated competition:</w:t>
      </w:r>
    </w:p>
    <w:p w14:paraId="2A2EAF61">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 </w:t>
      </w:r>
    </w:p>
    <w:p w14:paraId="65637F7E">
      <w:pPr>
        <w:pStyle w:val="17"/>
        <w:numPr>
          <w:ilvl w:val="0"/>
          <w:numId w:val="5"/>
        </w:num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b/>
          <w:iCs/>
          <w:color w:val="000000"/>
          <w:sz w:val="24"/>
          <w:szCs w:val="24"/>
        </w:rPr>
        <w:t xml:space="preserve"> Large number of sellers and buyers, identical goods, free entry and free exit:</w:t>
      </w:r>
      <w:r>
        <w:rPr>
          <w:rFonts w:ascii="Times New Roman" w:hAnsi="Times New Roman" w:eastAsia="Times New Roman" w:cs="Times New Roman"/>
          <w:i/>
          <w:iCs/>
          <w:color w:val="000000"/>
          <w:sz w:val="24"/>
          <w:szCs w:val="24"/>
        </w:rPr>
        <w:t xml:space="preserve"> </w:t>
      </w:r>
      <w:r>
        <w:rPr>
          <w:rFonts w:ascii="Times New Roman" w:hAnsi="Times New Roman" w:eastAsia="Times New Roman" w:cs="Times New Roman"/>
          <w:color w:val="000000"/>
          <w:sz w:val="24"/>
          <w:szCs w:val="24"/>
        </w:rPr>
        <w:t>This form of competition is called, ―</w:t>
      </w:r>
      <w:r>
        <w:rPr>
          <w:rFonts w:ascii="Times New Roman" w:hAnsi="Times New Roman" w:eastAsia="Times New Roman" w:cs="Times New Roman"/>
          <w:b/>
          <w:iCs/>
          <w:color w:val="000000"/>
          <w:sz w:val="24"/>
          <w:szCs w:val="24"/>
        </w:rPr>
        <w:t>Perfect</w:t>
      </w:r>
      <w:r>
        <w:rPr>
          <w:rFonts w:ascii="Times New Roman" w:hAnsi="Times New Roman" w:eastAsia="Times New Roman" w:cs="Times New Roman"/>
          <w:i/>
          <w:iCs/>
          <w:color w:val="000000"/>
          <w:sz w:val="24"/>
          <w:szCs w:val="24"/>
        </w:rPr>
        <w:t xml:space="preserve"> </w:t>
      </w:r>
      <w:r>
        <w:rPr>
          <w:rFonts w:ascii="Times New Roman" w:hAnsi="Times New Roman" w:eastAsia="Times New Roman" w:cs="Times New Roman"/>
          <w:b/>
          <w:iCs/>
          <w:color w:val="000000"/>
          <w:sz w:val="24"/>
          <w:szCs w:val="24"/>
        </w:rPr>
        <w:t>Competition</w:t>
      </w:r>
      <w:r>
        <w:rPr>
          <w:rFonts w:ascii="Times New Roman" w:hAnsi="Times New Roman" w:eastAsia="Times New Roman" w:cs="Times New Roman"/>
          <w:color w:val="000000"/>
          <w:sz w:val="24"/>
          <w:szCs w:val="24"/>
        </w:rPr>
        <w:t>. The existence of a very large number of sellers producing identical goods, results in same price for these goods. Conversely, the existence of a unique price implies that in this form of competition, firms are price takers and not price setters and can sell any quantity of the products they desire at the existing market price. For example, a near perfect competition can be seen in the market for vegetables. Almost everywhere in the world where there are large number of buyers and sellers, the buyers have perfect information about the market and no individual seller can usually influence the market on his own.</w:t>
      </w:r>
      <w:r>
        <w:rPr>
          <w:rStyle w:val="7"/>
          <w:rFonts w:ascii="Times New Roman" w:hAnsi="Times New Roman" w:eastAsia="Times New Roman" w:cs="Times New Roman"/>
          <w:color w:val="000000"/>
          <w:sz w:val="24"/>
          <w:szCs w:val="24"/>
        </w:rPr>
        <w:footnoteReference w:id="58"/>
      </w:r>
    </w:p>
    <w:p w14:paraId="7B606F70">
      <w:pPr>
        <w:spacing w:after="0" w:line="480" w:lineRule="auto"/>
        <w:ind w:left="360"/>
        <w:jc w:val="both"/>
        <w:rPr>
          <w:rFonts w:ascii="Times New Roman" w:hAnsi="Times New Roman" w:eastAsia="Times New Roman" w:cs="Times New Roman"/>
          <w:sz w:val="24"/>
          <w:szCs w:val="24"/>
        </w:rPr>
      </w:pPr>
    </w:p>
    <w:p w14:paraId="0F4856B2">
      <w:pPr>
        <w:pStyle w:val="17"/>
        <w:numPr>
          <w:ilvl w:val="0"/>
          <w:numId w:val="5"/>
        </w:num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b/>
          <w:iCs/>
          <w:color w:val="000000"/>
          <w:sz w:val="24"/>
          <w:szCs w:val="24"/>
        </w:rPr>
        <w:t>Single seller, large numbers of buyers, and no close substitutes of the product, high entry barriers</w:t>
      </w:r>
      <w:r>
        <w:rPr>
          <w:rFonts w:ascii="Times New Roman" w:hAnsi="Times New Roman" w:eastAsia="Times New Roman" w:cs="Times New Roman"/>
          <w:i/>
          <w:iCs/>
          <w:color w:val="000000"/>
          <w:sz w:val="24"/>
          <w:szCs w:val="24"/>
        </w:rPr>
        <w:t xml:space="preserve">: </w:t>
      </w:r>
      <w:r>
        <w:rPr>
          <w:rFonts w:ascii="Times New Roman" w:hAnsi="Times New Roman" w:eastAsia="Times New Roman" w:cs="Times New Roman"/>
          <w:color w:val="000000"/>
          <w:sz w:val="24"/>
          <w:szCs w:val="24"/>
        </w:rPr>
        <w:t>This form of competition is called, ―</w:t>
      </w:r>
      <w:r>
        <w:rPr>
          <w:rFonts w:ascii="Times New Roman" w:hAnsi="Times New Roman" w:eastAsia="Times New Roman" w:cs="Times New Roman"/>
          <w:b/>
          <w:iCs/>
          <w:color w:val="000000"/>
          <w:sz w:val="24"/>
          <w:szCs w:val="24"/>
        </w:rPr>
        <w:t>Monopoly</w:t>
      </w:r>
      <w:r>
        <w:rPr>
          <w:rFonts w:ascii="Times New Roman" w:hAnsi="Times New Roman" w:eastAsia="Times New Roman" w:cs="Times New Roman"/>
          <w:color w:val="000000"/>
          <w:sz w:val="24"/>
          <w:szCs w:val="24"/>
        </w:rPr>
        <w:t>. In this market form, the monopolist</w:t>
      </w:r>
      <w:r>
        <w:rPr>
          <w:rStyle w:val="7"/>
          <w:rFonts w:ascii="Times New Roman" w:hAnsi="Times New Roman" w:eastAsia="Times New Roman" w:cs="Times New Roman"/>
          <w:color w:val="000000"/>
          <w:sz w:val="24"/>
          <w:szCs w:val="24"/>
        </w:rPr>
        <w:footnoteReference w:id="59"/>
      </w:r>
      <w:r>
        <w:rPr>
          <w:rFonts w:ascii="Times New Roman" w:hAnsi="Times New Roman" w:eastAsia="Times New Roman" w:cs="Times New Roman"/>
          <w:color w:val="000000"/>
          <w:sz w:val="24"/>
          <w:szCs w:val="24"/>
        </w:rPr>
        <w:t xml:space="preserve"> is the price and output setter. The monopolist can set price and allow demand to determine output or, can set output and allow demand to determine price. There may be reasonably adequate substitutes but not close substitutes. For example, in Nigeria, road transport services and airlines are reasonably adequate substitutes for railways since there are both private and public competitors but not close substitutes.</w:t>
      </w:r>
      <w:r>
        <w:rPr>
          <w:rStyle w:val="7"/>
          <w:rFonts w:ascii="Times New Roman" w:hAnsi="Times New Roman" w:eastAsia="Times New Roman" w:cs="Times New Roman"/>
          <w:color w:val="000000"/>
          <w:sz w:val="24"/>
          <w:szCs w:val="24"/>
        </w:rPr>
        <w:footnoteReference w:id="60"/>
      </w:r>
    </w:p>
    <w:p w14:paraId="41A0EFF1">
      <w:pPr>
        <w:spacing w:after="0" w:line="480" w:lineRule="auto"/>
        <w:ind w:left="360"/>
        <w:jc w:val="both"/>
        <w:rPr>
          <w:rFonts w:ascii="Times New Roman" w:hAnsi="Times New Roman" w:eastAsia="Times New Roman" w:cs="Times New Roman"/>
          <w:sz w:val="24"/>
          <w:szCs w:val="24"/>
        </w:rPr>
      </w:pPr>
    </w:p>
    <w:p w14:paraId="7EBCCA1C">
      <w:pPr>
        <w:pStyle w:val="17"/>
        <w:numPr>
          <w:ilvl w:val="0"/>
          <w:numId w:val="5"/>
        </w:numPr>
        <w:spacing w:line="480" w:lineRule="auto"/>
        <w:jc w:val="both"/>
        <w:rPr>
          <w:rFonts w:ascii="Times New Roman" w:hAnsi="Times New Roman" w:eastAsia="Times New Roman" w:cs="Times New Roman"/>
          <w:sz w:val="24"/>
          <w:szCs w:val="24"/>
        </w:rPr>
      </w:pPr>
      <w:r>
        <w:rPr>
          <w:rFonts w:ascii="Times New Roman" w:hAnsi="Times New Roman" w:eastAsia="Times New Roman" w:cs="Times New Roman"/>
          <w:b/>
          <w:iCs/>
          <w:color w:val="000000"/>
          <w:sz w:val="24"/>
          <w:szCs w:val="24"/>
        </w:rPr>
        <w:t>Large number of sellers and buyers, existence of close substitutable products, no entry barrier</w:t>
      </w:r>
      <w:r>
        <w:rPr>
          <w:rFonts w:ascii="Times New Roman" w:hAnsi="Times New Roman" w:eastAsia="Times New Roman" w:cs="Times New Roman"/>
          <w:i/>
          <w:iCs/>
          <w:color w:val="000000"/>
          <w:sz w:val="24"/>
          <w:szCs w:val="24"/>
        </w:rPr>
        <w:t xml:space="preserve">: </w:t>
      </w:r>
      <w:r>
        <w:rPr>
          <w:rFonts w:ascii="Times New Roman" w:hAnsi="Times New Roman" w:eastAsia="Times New Roman" w:cs="Times New Roman"/>
          <w:color w:val="000000"/>
          <w:sz w:val="24"/>
          <w:szCs w:val="24"/>
        </w:rPr>
        <w:t>This form of competition is called, ―</w:t>
      </w:r>
      <w:r>
        <w:rPr>
          <w:rFonts w:ascii="Times New Roman" w:hAnsi="Times New Roman" w:eastAsia="Times New Roman" w:cs="Times New Roman"/>
          <w:b/>
          <w:iCs/>
          <w:color w:val="000000"/>
          <w:sz w:val="24"/>
          <w:szCs w:val="24"/>
        </w:rPr>
        <w:t>Monopolistic Competition</w:t>
      </w:r>
      <w:r>
        <w:rPr>
          <w:rFonts w:ascii="Times New Roman" w:hAnsi="Times New Roman" w:eastAsia="Times New Roman" w:cs="Times New Roman"/>
          <w:color w:val="000000"/>
          <w:sz w:val="24"/>
          <w:szCs w:val="24"/>
        </w:rPr>
        <w:t xml:space="preserve">. Existence of a large number of sellers and buyers may give an impression that this form of competition resembles perfect competition. But it is unlike perfect competition. Here the existence of a large number of a buyers and sellers does not imply that only a single price prevails in the market. Rather, several prices exist in this market form. Each firm enjoys certain price setting power over its product because of product differentiation. Firms do not engage in price competition in this market form since the effect on the demand for the product of the low-priced firm is negligible. Instead, they engage in non-price competition, such as product differentiation, to attract more customers, not as a reaction to the decision taken by other firms. Markets of products such as soap, toothpaste and other toiletries are examples of monopolistic competition where a large number of close substitutes are available. However, in order to remain in competition, the suppliers actively engage in product differentiation to attract customers. </w:t>
      </w:r>
    </w:p>
    <w:p w14:paraId="079FE357">
      <w:pPr>
        <w:pStyle w:val="17"/>
        <w:numPr>
          <w:ilvl w:val="0"/>
          <w:numId w:val="5"/>
        </w:numPr>
        <w:spacing w:line="480" w:lineRule="auto"/>
        <w:jc w:val="both"/>
        <w:rPr>
          <w:rFonts w:ascii="Times New Roman" w:hAnsi="Times New Roman" w:eastAsia="Times New Roman" w:cs="Times New Roman"/>
          <w:sz w:val="24"/>
          <w:szCs w:val="24"/>
        </w:rPr>
      </w:pPr>
      <w:r>
        <w:rPr>
          <w:rFonts w:ascii="Times New Roman" w:hAnsi="Times New Roman" w:eastAsia="Times New Roman" w:cs="Times New Roman"/>
          <w:b/>
          <w:iCs/>
          <w:color w:val="000000"/>
          <w:sz w:val="24"/>
          <w:szCs w:val="24"/>
        </w:rPr>
        <w:t>Very few sellers, large number of buyers, and large number of branded products, high entry barrier:</w:t>
      </w:r>
      <w:r>
        <w:rPr>
          <w:rFonts w:ascii="Times New Roman" w:hAnsi="Times New Roman" w:eastAsia="Times New Roman" w:cs="Times New Roman"/>
          <w:i/>
          <w:iCs/>
          <w:color w:val="000000"/>
          <w:sz w:val="24"/>
          <w:szCs w:val="24"/>
        </w:rPr>
        <w:t xml:space="preserve"> </w:t>
      </w:r>
      <w:r>
        <w:rPr>
          <w:rFonts w:ascii="Times New Roman" w:hAnsi="Times New Roman" w:eastAsia="Times New Roman" w:cs="Times New Roman"/>
          <w:color w:val="000000"/>
          <w:sz w:val="24"/>
          <w:szCs w:val="24"/>
        </w:rPr>
        <w:t>This form of competition is called, ―</w:t>
      </w:r>
      <w:r>
        <w:rPr>
          <w:rFonts w:ascii="Times New Roman" w:hAnsi="Times New Roman" w:eastAsia="Times New Roman" w:cs="Times New Roman"/>
          <w:b/>
          <w:iCs/>
          <w:color w:val="000000"/>
          <w:sz w:val="24"/>
          <w:szCs w:val="24"/>
        </w:rPr>
        <w:t>Oligopolistic</w:t>
      </w:r>
      <w:r>
        <w:rPr>
          <w:rFonts w:ascii="Times New Roman" w:hAnsi="Times New Roman" w:eastAsia="Times New Roman" w:cs="Times New Roman"/>
          <w:i/>
          <w:iCs/>
          <w:color w:val="000000"/>
          <w:sz w:val="24"/>
          <w:szCs w:val="24"/>
        </w:rPr>
        <w:t xml:space="preserve"> </w:t>
      </w:r>
      <w:r>
        <w:rPr>
          <w:rFonts w:ascii="Times New Roman" w:hAnsi="Times New Roman" w:eastAsia="Times New Roman" w:cs="Times New Roman"/>
          <w:b/>
          <w:iCs/>
          <w:color w:val="000000"/>
          <w:sz w:val="24"/>
          <w:szCs w:val="24"/>
        </w:rPr>
        <w:t>Competition</w:t>
      </w:r>
      <w:r>
        <w:rPr>
          <w:rFonts w:ascii="Times New Roman" w:hAnsi="Times New Roman" w:eastAsia="Times New Roman" w:cs="Times New Roman"/>
          <w:color w:val="000000"/>
          <w:sz w:val="24"/>
          <w:szCs w:val="24"/>
        </w:rPr>
        <w:t>. The number of sellers is so small that they are conscious of their interdependence (be it in price, product or promotion). They take into account the competitors’ possible reactions while deciding their strategy. Firms, in this market form, tend to produce large number of branded goods in order to diversify the product line and thus compete on non-price terms (such as brand loyalty) and strengthen this with high advertising budgets. In India, the cellular service provider industry can be taken as an example of oligopolistic competition where only two firms are allowed with respect to each circle, such as, Airtel and Essar in Delhi circle, or Hutchinson and BPL in Mumbai circle. They compete on non-price competition (facilities like cricket match score and stock market quotation) among themselves and take competitors’ possible reactions into account while deciding their strategy.</w:t>
      </w:r>
      <w:r>
        <w:rPr>
          <w:rStyle w:val="7"/>
          <w:rFonts w:ascii="Times New Roman" w:hAnsi="Times New Roman" w:eastAsia="Times New Roman" w:cs="Times New Roman"/>
          <w:color w:val="000000"/>
          <w:sz w:val="24"/>
          <w:szCs w:val="24"/>
        </w:rPr>
        <w:footnoteReference w:id="61"/>
      </w:r>
    </w:p>
    <w:p w14:paraId="4D8C8A4B">
      <w:pPr>
        <w:spacing w:line="48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 xml:space="preserve">2.2.5 Competition law under Federal Competitive and Consumer Protection Act, 2018 </w:t>
      </w:r>
    </w:p>
    <w:p w14:paraId="5B90A472">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The enactment of the FCCPA has the potential to create a level playing field required for medium and small scale enterprises to thrive. The Act aims at promoting a competitive market and protecting consumer rights in Nigeria. The Act applies to all businesses in Nigeria and supersedes all laws on competition and consumer protection, except the Constitution of the Federal Republic of Nigeria 1999. </w:t>
      </w:r>
    </w:p>
    <w:p w14:paraId="0D21C3BA">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The Act prohibits unfair business practices or abuse of dominant market position by any company, as well as any agreement to restrain competition such as agreements for price fixing, price rigging, collusive tendering etc. To regulate and facilitate competition, the </w:t>
      </w:r>
    </w:p>
    <w:p w14:paraId="71E2830B">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President may from time to time, by order published in the Federal Gazette, declare that prices for goods and services specified in the order shall be controlled in accordance with the provisions of the Act.</w:t>
      </w:r>
      <w:r>
        <w:rPr>
          <w:rStyle w:val="7"/>
          <w:rFonts w:ascii="Times New Roman" w:hAnsi="Times New Roman" w:eastAsia="Times New Roman" w:cs="Times New Roman"/>
          <w:color w:val="000000"/>
          <w:sz w:val="24"/>
          <w:szCs w:val="24"/>
        </w:rPr>
        <w:footnoteReference w:id="62"/>
      </w:r>
      <w:r>
        <w:rPr>
          <w:rFonts w:ascii="Times New Roman" w:hAnsi="Times New Roman" w:eastAsia="Times New Roman" w:cs="Times New Roman"/>
          <w:color w:val="000000"/>
          <w:sz w:val="24"/>
          <w:szCs w:val="24"/>
        </w:rPr>
        <w:t xml:space="preserve"> In addition, the Act mandates the Commission to administer the provisions of the Act as well as set up the Competition and Consumer Protection Tribunal to adjudicate over conducts prohibited by the Act and exercise jurisdiction in accordance with the Act.</w:t>
      </w:r>
      <w:r>
        <w:rPr>
          <w:rStyle w:val="7"/>
          <w:rFonts w:ascii="Times New Roman" w:hAnsi="Times New Roman" w:eastAsia="Times New Roman" w:cs="Times New Roman"/>
          <w:color w:val="000000"/>
          <w:sz w:val="24"/>
          <w:szCs w:val="24"/>
        </w:rPr>
        <w:footnoteReference w:id="63"/>
      </w:r>
      <w:r>
        <w:rPr>
          <w:rFonts w:ascii="Times New Roman" w:hAnsi="Times New Roman" w:eastAsia="Times New Roman" w:cs="Times New Roman"/>
          <w:color w:val="000000"/>
          <w:sz w:val="24"/>
          <w:szCs w:val="24"/>
        </w:rPr>
        <w:t xml:space="preserve"> However, the Commission must be run professionally and must ensure a level playing field between local and foreign businesses.  With an improvement in FCCPC's capacity in merger review and knowledge of necessary competition regulation, it may deal with enforcement actions against monopolies (and regulated industries) and anti-competitive agreements and practices.</w:t>
      </w:r>
      <w:r>
        <w:rPr>
          <w:rStyle w:val="7"/>
          <w:rFonts w:ascii="Times New Roman" w:hAnsi="Times New Roman" w:eastAsia="Times New Roman" w:cs="Times New Roman"/>
          <w:color w:val="000000"/>
          <w:sz w:val="24"/>
          <w:szCs w:val="24"/>
        </w:rPr>
        <w:footnoteReference w:id="64"/>
      </w:r>
    </w:p>
    <w:p w14:paraId="08CA7AFA">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FCCPA provides for the following with the aim of curtailing anti-competitive practices in Nigeria:</w:t>
      </w:r>
    </w:p>
    <w:p w14:paraId="2C19E6B7">
      <w:pPr>
        <w:rPr>
          <w:rFonts w:ascii="Times New Roman" w:hAnsi="Times New Roman" w:cs="Times New Roman"/>
          <w:b/>
          <w:sz w:val="24"/>
          <w:szCs w:val="24"/>
        </w:rPr>
      </w:pPr>
      <w:r>
        <w:rPr>
          <w:rFonts w:ascii="Times New Roman" w:hAnsi="Times New Roman" w:cs="Times New Roman"/>
          <w:b/>
          <w:sz w:val="24"/>
          <w:szCs w:val="24"/>
        </w:rPr>
        <w:br w:type="page"/>
      </w:r>
    </w:p>
    <w:p w14:paraId="1960A125">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2.2.5.1 Merger and Acquisition</w:t>
      </w:r>
    </w:p>
    <w:p w14:paraId="704E4831">
      <w:pPr>
        <w:spacing w:after="0" w:line="480" w:lineRule="auto"/>
        <w:jc w:val="both"/>
        <w:rPr>
          <w:rFonts w:ascii="Times New Roman" w:hAnsi="Times New Roman" w:cs="Times New Roman"/>
          <w:sz w:val="24"/>
          <w:szCs w:val="24"/>
        </w:rPr>
      </w:pPr>
    </w:p>
    <w:p w14:paraId="5292F4FB">
      <w:pPr>
        <w:spacing w:after="0" w:line="480" w:lineRule="auto"/>
        <w:jc w:val="both"/>
        <w:rPr>
          <w:rFonts w:ascii="Times New Roman" w:hAnsi="Times New Roman" w:eastAsia="Times New Roman" w:cs="Times New Roman"/>
          <w:sz w:val="24"/>
          <w:szCs w:val="24"/>
        </w:rPr>
      </w:pPr>
      <w:r>
        <w:rPr>
          <w:rFonts w:ascii="Times New Roman" w:hAnsi="Times New Roman" w:cs="Times New Roman"/>
          <w:sz w:val="24"/>
          <w:szCs w:val="24"/>
        </w:rPr>
        <w:t>The FCCPA is currently the key legislation on mergers in Nigeria.  The FCCPA introduced significant changes to the regulation of mergers.  The FCCPA repealed Sections 118–128 of ISA.</w:t>
      </w:r>
      <w:r>
        <w:rPr>
          <w:rStyle w:val="7"/>
          <w:rFonts w:ascii="Times New Roman" w:hAnsi="Times New Roman" w:cs="Times New Roman"/>
          <w:sz w:val="24"/>
          <w:szCs w:val="24"/>
        </w:rPr>
        <w:footnoteReference w:id="65"/>
      </w:r>
      <w:r>
        <w:rPr>
          <w:rFonts w:ascii="Times New Roman" w:hAnsi="Times New Roman" w:cs="Times New Roman"/>
          <w:sz w:val="24"/>
          <w:szCs w:val="24"/>
        </w:rPr>
        <w:t xml:space="preserve"> However, the SEC may still exercise the function under Section 121 (1) (d), which empowers the SEC to determine whether all shareholders are fairly, equitably and similarly treated, and given sufficient information regarding the merger in line with Section 165(2) of the FCCPA.  The FCCPC, pursuant to its powers under the FCCPA, has issued various regulations and guidelines for mergers in Nigeria.</w:t>
      </w:r>
      <w:r>
        <w:rPr>
          <w:rStyle w:val="7"/>
          <w:rFonts w:ascii="Times New Roman" w:hAnsi="Times New Roman" w:cs="Times New Roman"/>
          <w:sz w:val="24"/>
          <w:szCs w:val="24"/>
        </w:rPr>
        <w:footnoteReference w:id="66"/>
      </w:r>
      <w:r>
        <w:rPr>
          <w:rFonts w:ascii="Times New Roman" w:hAnsi="Times New Roman" w:cs="Times New Roman"/>
          <w:sz w:val="24"/>
          <w:szCs w:val="24"/>
        </w:rPr>
        <w:t>  These regulations include: the Notice of Threshold for Merger Notification, 2019 (</w:t>
      </w:r>
      <w:r>
        <w:rPr>
          <w:rStyle w:val="12"/>
          <w:rFonts w:ascii="Times New Roman" w:hAnsi="Times New Roman" w:cs="Times New Roman"/>
          <w:b w:val="0"/>
          <w:sz w:val="24"/>
          <w:szCs w:val="24"/>
        </w:rPr>
        <w:t>Notice</w:t>
      </w:r>
      <w:r>
        <w:rPr>
          <w:rFonts w:ascii="Times New Roman" w:hAnsi="Times New Roman" w:cs="Times New Roman"/>
          <w:sz w:val="24"/>
          <w:szCs w:val="24"/>
        </w:rPr>
        <w:t>); the Notice in Respect of Indicative Timeframes for Merger Notification and Review Process, 2020; the Merger Review Regulation, 2020 (</w:t>
      </w:r>
      <w:r>
        <w:rPr>
          <w:rStyle w:val="12"/>
          <w:rFonts w:ascii="Times New Roman" w:hAnsi="Times New Roman" w:cs="Times New Roman"/>
          <w:b w:val="0"/>
          <w:sz w:val="24"/>
          <w:szCs w:val="24"/>
        </w:rPr>
        <w:t>Rules</w:t>
      </w:r>
      <w:r>
        <w:rPr>
          <w:rFonts w:ascii="Times New Roman" w:hAnsi="Times New Roman" w:cs="Times New Roman"/>
          <w:sz w:val="24"/>
          <w:szCs w:val="24"/>
        </w:rPr>
        <w:t>); the Merger Review (Amended) Regulations, 2021; the Guidelines on Simplified Process for Foreign-to-Foreign Mergers with Nigerian Component, 2019 (</w:t>
      </w:r>
      <w:r>
        <w:rPr>
          <w:rStyle w:val="12"/>
          <w:rFonts w:ascii="Times New Roman" w:hAnsi="Times New Roman" w:cs="Times New Roman"/>
          <w:b w:val="0"/>
          <w:sz w:val="24"/>
          <w:szCs w:val="24"/>
        </w:rPr>
        <w:t>Guidelines</w:t>
      </w:r>
      <w:r>
        <w:rPr>
          <w:rFonts w:ascii="Times New Roman" w:hAnsi="Times New Roman" w:cs="Times New Roman"/>
          <w:sz w:val="24"/>
          <w:szCs w:val="24"/>
        </w:rPr>
        <w:t>), which were issued to provide a guide for obtaining the Commission’s approval for offshore merger transactions; and the Merger Review Guidelines 2020, which were issued to govern the notification and review of mergers under the FCCPA.</w:t>
      </w:r>
    </w:p>
    <w:p w14:paraId="1691D733">
      <w:pPr>
        <w:spacing w:after="0" w:line="480" w:lineRule="auto"/>
        <w:jc w:val="both"/>
        <w:rPr>
          <w:rFonts w:ascii="Times New Roman" w:hAnsi="Times New Roman" w:cs="Times New Roman"/>
          <w:sz w:val="24"/>
          <w:szCs w:val="24"/>
        </w:rPr>
      </w:pPr>
    </w:p>
    <w:p w14:paraId="4BD2DD9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Section 92(1) (a) of the FCCPA, provides that: </w:t>
      </w:r>
    </w:p>
    <w:p w14:paraId="3CF35674">
      <w:pPr>
        <w:spacing w:after="0" w:line="48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a merger occurs when one or more undertakings directly and indirectly acquire or establish direct or indirect control over the whole or part of the business of another undertaking. </w:t>
      </w:r>
    </w:p>
    <w:p w14:paraId="06F2311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Section 92(1)(b) equally provides that the merger may be achieved in any manner including through: </w:t>
      </w:r>
    </w:p>
    <w:p w14:paraId="167ADFD8">
      <w:pPr>
        <w:pStyle w:val="17"/>
        <w:numPr>
          <w:ilvl w:val="0"/>
          <w:numId w:val="6"/>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purchase or lease of shares, interest or assets of the other undertaking; </w:t>
      </w:r>
    </w:p>
    <w:p w14:paraId="5C262DED">
      <w:pPr>
        <w:pStyle w:val="17"/>
        <w:numPr>
          <w:ilvl w:val="0"/>
          <w:numId w:val="6"/>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amalgamation or combination with the other undertaking; and </w:t>
      </w:r>
    </w:p>
    <w:p w14:paraId="43A22387">
      <w:pPr>
        <w:pStyle w:val="17"/>
        <w:numPr>
          <w:ilvl w:val="0"/>
          <w:numId w:val="6"/>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joint venture. This involves two umbrella methods to attaining control over the business of another undertaking. </w:t>
      </w:r>
    </w:p>
    <w:p w14:paraId="3F15128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Section 92(2) sheds more light on what constitutes “control”. In Sections 92(2)(a) and (d), control is attained through acquisition of interest in another undertaking. That is, by </w:t>
      </w:r>
    </w:p>
    <w:p w14:paraId="038617D6">
      <w:pPr>
        <w:pStyle w:val="17"/>
        <w:numPr>
          <w:ilvl w:val="0"/>
          <w:numId w:val="7"/>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beneficially holding more than one half of the issued share capital or assets of the undertaking; and </w:t>
      </w:r>
    </w:p>
    <w:p w14:paraId="1EC859B3">
      <w:pPr>
        <w:pStyle w:val="17"/>
        <w:numPr>
          <w:ilvl w:val="0"/>
          <w:numId w:val="7"/>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being a holding company and the undertaking is a subsidiary of the (holding) company. </w:t>
      </w:r>
    </w:p>
    <w:p w14:paraId="404B971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Under Sections 92 (2) (b), (c), (e) and (f), control is established without acquiring an interest in the other undertaking. That is, by being: </w:t>
      </w:r>
    </w:p>
    <w:p w14:paraId="50141B8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 entitled to cast majority of the votes at the general meeting of the undertaking or ability to control majority of the votes; </w:t>
      </w:r>
    </w:p>
    <w:p w14:paraId="61B7D9A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(b) able to appoint or veto the appointment of majority of directors; and </w:t>
      </w:r>
    </w:p>
    <w:p w14:paraId="235C94E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(c) able to control the majority of the votes of the trustees, to appoint majority of the trustees or to appoint or change majority of the beneficiaries in cases where the undertaking is a trust. This implies that the Commission may determine that an undertaking is being controlled by another undertaking without necessarily acquiring an interest in that undertaking especially where it is determined that an undertaking can control the board or majority votes of the other undertaking. The Act provides for two types of Merger, Small and Large Merger.</w:t>
      </w:r>
      <w:r>
        <w:rPr>
          <w:rStyle w:val="7"/>
          <w:rFonts w:ascii="Times New Roman" w:hAnsi="Times New Roman" w:cs="Times New Roman"/>
          <w:sz w:val="24"/>
          <w:szCs w:val="24"/>
        </w:rPr>
        <w:footnoteReference w:id="67"/>
      </w:r>
    </w:p>
    <w:p w14:paraId="526C7305">
      <w:pPr>
        <w:spacing w:after="0" w:line="48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2.2.5.2 Investigation of Monopoly and Abuse of Dominant Position</w:t>
      </w:r>
    </w:p>
    <w:p w14:paraId="4D9D88FE">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The FCCPA charges the Commission to prohibit restrictive or unfair business practices which restrict or distort competition or which constitute an abuse of a dominant position or market power in Nigeria.</w:t>
      </w:r>
      <w:r>
        <w:rPr>
          <w:rStyle w:val="7"/>
          <w:rFonts w:ascii="Times New Roman" w:hAnsi="Times New Roman" w:eastAsia="Times New Roman" w:cs="Times New Roman"/>
          <w:sz w:val="24"/>
          <w:szCs w:val="24"/>
        </w:rPr>
        <w:footnoteReference w:id="68"/>
      </w:r>
      <w:r>
        <w:rPr>
          <w:rFonts w:ascii="Times New Roman" w:hAnsi="Times New Roman" w:eastAsia="Times New Roman" w:cs="Times New Roman"/>
          <w:sz w:val="24"/>
          <w:szCs w:val="24"/>
        </w:rPr>
        <w:t xml:space="preserve"> A monopoly means an exclusive possession of a market by a supplier of a product or a service to the exclusion of other market competitors. In this situation, the supplier is able to determine the price of a product with a view to maximising profit without fear of competition.</w:t>
      </w:r>
      <w:r>
        <w:rPr>
          <w:rStyle w:val="7"/>
          <w:rFonts w:ascii="Times New Roman" w:hAnsi="Times New Roman" w:eastAsia="Times New Roman" w:cs="Times New Roman"/>
          <w:sz w:val="24"/>
          <w:szCs w:val="24"/>
        </w:rPr>
        <w:footnoteReference w:id="69"/>
      </w:r>
    </w:p>
    <w:p w14:paraId="1C69421D">
      <w:pPr>
        <w:spacing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The Act provides that where it appears to the Commission that there are grounds for believing that a monopoly situation may exist in relation to the production or distribution of goods or services of any description, or in relation to exports of goods or services of any description from Nigeria, the Commission shall cause an investigation to be held into a particular sector of the economy or into a particular type of agreements across various sectors to determine the extent of the situation in relation to the market.</w:t>
      </w:r>
      <w:r>
        <w:rPr>
          <w:rStyle w:val="7"/>
          <w:rFonts w:ascii="Times New Roman" w:hAnsi="Times New Roman" w:eastAsia="Times New Roman" w:cs="Times New Roman"/>
          <w:sz w:val="24"/>
          <w:szCs w:val="24"/>
        </w:rPr>
        <w:footnoteReference w:id="70"/>
      </w:r>
      <w:r>
        <w:rPr>
          <w:rFonts w:ascii="Times New Roman" w:hAnsi="Times New Roman" w:eastAsia="Times New Roman" w:cs="Times New Roman"/>
          <w:sz w:val="24"/>
          <w:szCs w:val="24"/>
        </w:rPr>
        <w:t xml:space="preserve"> </w:t>
      </w:r>
      <w:r>
        <w:rPr>
          <w:rFonts w:ascii="Times New Roman" w:hAnsi="Times New Roman" w:eastAsia="Times New Roman" w:cs="Times New Roman"/>
          <w:color w:val="000000"/>
          <w:sz w:val="24"/>
          <w:szCs w:val="24"/>
        </w:rPr>
        <w:t>The Act does not by implication prohibit dominant position of an undertaking which is a position of economic strength. However, it operates to prevent situations where a business or undertaking prevents effective competition maintained in the relevant market place by acting in abuse of the dominant position and having the power to behave to an appreciable extent independently of its competitors, customers and ultimately consumers.</w:t>
      </w:r>
      <w:r>
        <w:rPr>
          <w:rStyle w:val="7"/>
          <w:rFonts w:ascii="Times New Roman" w:hAnsi="Times New Roman" w:eastAsia="Times New Roman" w:cs="Times New Roman"/>
          <w:color w:val="000000"/>
          <w:sz w:val="24"/>
          <w:szCs w:val="24"/>
        </w:rPr>
        <w:footnoteReference w:id="71"/>
      </w:r>
    </w:p>
    <w:p w14:paraId="2DF1616F">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Furthermore, where the Commission finds that a monopoly situation exists and that the facts found by the Commission in pursuance of its investigation operate or may be expected to operate against the public interest, its report shall specify those facts and the particular affect which in the Commission's opinion, those facts have or may be expected to have</w:t>
      </w:r>
      <w:r>
        <w:rPr>
          <w:rStyle w:val="7"/>
          <w:rFonts w:ascii="Times New Roman" w:hAnsi="Times New Roman" w:eastAsia="Times New Roman" w:cs="Times New Roman"/>
          <w:sz w:val="24"/>
          <w:szCs w:val="24"/>
        </w:rPr>
        <w:footnoteReference w:id="72"/>
      </w:r>
      <w:r>
        <w:rPr>
          <w:rFonts w:ascii="Times New Roman" w:hAnsi="Times New Roman" w:eastAsia="Times New Roman" w:cs="Times New Roman"/>
          <w:sz w:val="24"/>
          <w:szCs w:val="24"/>
        </w:rPr>
        <w:t>.</w:t>
      </w:r>
    </w:p>
    <w:p w14:paraId="26910A7F">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The Commission after confirming that a monopoly exists in the market may do or cause the following to be done:</w:t>
      </w:r>
    </w:p>
    <w:p w14:paraId="69847115">
      <w:pPr>
        <w:pStyle w:val="17"/>
        <w:numPr>
          <w:ilvl w:val="0"/>
          <w:numId w:val="8"/>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Declare an agreement unlawful.</w:t>
      </w:r>
    </w:p>
    <w:p w14:paraId="18F53606">
      <w:pPr>
        <w:pStyle w:val="17"/>
        <w:numPr>
          <w:ilvl w:val="0"/>
          <w:numId w:val="8"/>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Require any party to such agreement supplying goods or services to publish a list of prices.</w:t>
      </w:r>
    </w:p>
    <w:p w14:paraId="103159E4">
      <w:pPr>
        <w:pStyle w:val="17"/>
        <w:numPr>
          <w:ilvl w:val="0"/>
          <w:numId w:val="8"/>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Prohibit or restrict the acquisition of another business operator in the market.</w:t>
      </w:r>
    </w:p>
    <w:p w14:paraId="11ABDA94">
      <w:pPr>
        <w:spacing w:after="0" w:line="48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2.2.5.3 Price Regulation</w:t>
      </w:r>
    </w:p>
    <w:p w14:paraId="5CC24216">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To protect competitors in the market, the Act also provides for price regulation where the President of Nigeria may make an order as to pricing in Nigeria. The provision in Section 88 of the Act said thus:</w:t>
      </w:r>
    </w:p>
    <w:p w14:paraId="1283E4BF">
      <w:pPr>
        <w:spacing w:after="0" w:line="480" w:lineRule="auto"/>
        <w:ind w:left="72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"For the purpose of regulating and facilitating competition only, the President may, from time to time, by order published in the Federal Gazette, declare that the prices for goods or services specified in the order shall be controlled in accordance with the provisions of the Act".</w:t>
      </w:r>
    </w:p>
    <w:p w14:paraId="6DA468A6">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In the above provision, the President will only make an order regulating pricing in the following cases; if he is satisfied that competition is likely to be lessened; if it is necessary or desirable for prices of the goods and services to be controlled; and if it would remedy abuse of privileged positions in the relevant market.</w:t>
      </w:r>
    </w:p>
    <w:p w14:paraId="02B47FD8">
      <w:pPr>
        <w:rPr>
          <w:rFonts w:ascii="Times New Roman" w:hAnsi="Times New Roman" w:eastAsia="Times New Roman" w:cs="Times New Roman"/>
          <w:sz w:val="24"/>
          <w:szCs w:val="24"/>
        </w:rPr>
      </w:pPr>
      <w:r>
        <w:rPr>
          <w:rFonts w:ascii="Times New Roman" w:hAnsi="Times New Roman" w:eastAsia="Times New Roman" w:cs="Times New Roman"/>
          <w:sz w:val="24"/>
          <w:szCs w:val="24"/>
        </w:rPr>
        <w:br w:type="page"/>
      </w:r>
    </w:p>
    <w:p w14:paraId="5BFF352D">
      <w:pPr>
        <w:spacing w:after="0" w:line="48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2.2.6 Consumer Rights and Protection</w:t>
      </w:r>
    </w:p>
    <w:p w14:paraId="340690F5">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Consumer protection is one of the cardinal objectives of the FCCPA. The rights and protection afforded to consumers under the FCCPA are more defined, comprehensive and explicit than the rights and protection under the repealed Consumer Protection Council Act. Part XV of the FCCPA makes provision for the rights of consumers, some of which include the following:</w:t>
      </w:r>
    </w:p>
    <w:p w14:paraId="75E9FB1D">
      <w:pPr>
        <w:pStyle w:val="2"/>
        <w:spacing w:before="0" w:beforeAutospacing="0" w:after="0" w:afterAutospacing="0" w:line="480" w:lineRule="auto"/>
        <w:jc w:val="both"/>
        <w:rPr>
          <w:sz w:val="24"/>
          <w:szCs w:val="24"/>
        </w:rPr>
      </w:pPr>
      <w:r>
        <w:rPr>
          <w:sz w:val="24"/>
          <w:szCs w:val="24"/>
        </w:rPr>
        <w:t>Consumer’s right to information in plain language</w:t>
      </w:r>
    </w:p>
    <w:p w14:paraId="668E2E4C">
      <w:pPr>
        <w:pStyle w:val="11"/>
        <w:spacing w:before="0" w:beforeAutospacing="0" w:after="0" w:afterAutospacing="0" w:line="480" w:lineRule="auto"/>
        <w:jc w:val="both"/>
      </w:pPr>
      <w:r>
        <w:t>The Act requires a producer to make a virtual representation of the goods or services offered in a clear language that is direct and unambiguous. The producer is allowed to used illustrations or headings to give examples on the visual representations.</w:t>
      </w:r>
      <w:r>
        <w:rPr>
          <w:rStyle w:val="7"/>
        </w:rPr>
        <w:footnoteReference w:id="73"/>
      </w:r>
      <w:r>
        <w:t xml:space="preserve"> </w:t>
      </w:r>
    </w:p>
    <w:p w14:paraId="201B2272">
      <w:pPr>
        <w:pStyle w:val="2"/>
        <w:spacing w:before="0" w:beforeAutospacing="0" w:after="0" w:afterAutospacing="0" w:line="480" w:lineRule="auto"/>
        <w:jc w:val="both"/>
        <w:rPr>
          <w:sz w:val="24"/>
          <w:szCs w:val="24"/>
        </w:rPr>
      </w:pPr>
      <w:r>
        <w:rPr>
          <w:sz w:val="24"/>
          <w:szCs w:val="24"/>
        </w:rPr>
        <w:t>Right to disclosure of goods and service prices</w:t>
      </w:r>
    </w:p>
    <w:p w14:paraId="51B66EBE">
      <w:pPr>
        <w:pStyle w:val="11"/>
        <w:spacing w:before="0" w:beforeAutospacing="0" w:after="0" w:afterAutospacing="0" w:line="480" w:lineRule="auto"/>
        <w:jc w:val="both"/>
      </w:pPr>
      <w:r>
        <w:t>When a vendor is displaying the goods for sale, the price of the goods should also be adequately displayed. According to section 115 (2) of FCCPA 2018, price is adequately displayed when the currency of the Federal Republic of Nigeria is displayed in writing, stamps, or annexed to the goods or covering of the goods or services.</w:t>
      </w:r>
    </w:p>
    <w:p w14:paraId="242EAC15">
      <w:pPr>
        <w:pStyle w:val="2"/>
        <w:spacing w:before="0" w:beforeAutospacing="0" w:after="0" w:afterAutospacing="0" w:line="480" w:lineRule="auto"/>
        <w:jc w:val="both"/>
        <w:rPr>
          <w:sz w:val="24"/>
          <w:szCs w:val="24"/>
        </w:rPr>
      </w:pPr>
      <w:r>
        <w:rPr>
          <w:sz w:val="24"/>
          <w:szCs w:val="24"/>
        </w:rPr>
        <w:t>Labelling products and trade description</w:t>
      </w:r>
    </w:p>
    <w:p w14:paraId="081EDC73">
      <w:pPr>
        <w:pStyle w:val="11"/>
        <w:spacing w:before="0" w:beforeAutospacing="0" w:after="0" w:afterAutospacing="0" w:line="480" w:lineRule="auto"/>
        <w:jc w:val="both"/>
      </w:pPr>
      <w:r>
        <w:t>It is unlawful for an undertaking to knowingly apply to goods a trade description that is likely to mislead consumers in regard to any matter implied or expressed in the trade description or alter, deface, cover, remove or obscure a trade description or trademark applied to any goods in a way calculated to mislead consumers.</w:t>
      </w:r>
      <w:r>
        <w:rPr>
          <w:rStyle w:val="7"/>
        </w:rPr>
        <w:footnoteReference w:id="74"/>
      </w:r>
    </w:p>
    <w:p w14:paraId="544F3EE3">
      <w:pPr>
        <w:pStyle w:val="2"/>
        <w:spacing w:before="0" w:beforeAutospacing="0" w:after="0" w:afterAutospacing="0" w:line="480" w:lineRule="auto"/>
        <w:jc w:val="both"/>
        <w:rPr>
          <w:sz w:val="24"/>
          <w:szCs w:val="24"/>
        </w:rPr>
      </w:pPr>
      <w:r>
        <w:rPr>
          <w:sz w:val="24"/>
          <w:szCs w:val="24"/>
        </w:rPr>
        <w:t>Disclosure of reconditioned or second-hand goods</w:t>
      </w:r>
    </w:p>
    <w:p w14:paraId="70E0472D">
      <w:pPr>
        <w:pStyle w:val="11"/>
        <w:spacing w:before="0" w:beforeAutospacing="0" w:after="0" w:afterAutospacing="0" w:line="480" w:lineRule="auto"/>
        <w:jc w:val="both"/>
      </w:pPr>
      <w:r>
        <w:t>An undertaking that offers or agrees to supply used or refurbished goods must attach a conspicuous notice stating the condition of the goods. For instance, if the goods have been rebuilt or reconditioned, a clear notice should be attached saying so.</w:t>
      </w:r>
      <w:r>
        <w:rPr>
          <w:rStyle w:val="7"/>
        </w:rPr>
        <w:footnoteReference w:id="75"/>
      </w:r>
    </w:p>
    <w:p w14:paraId="09768FAA">
      <w:pPr>
        <w:pStyle w:val="2"/>
        <w:spacing w:before="0" w:beforeAutospacing="0" w:after="0" w:afterAutospacing="0" w:line="480" w:lineRule="auto"/>
        <w:jc w:val="both"/>
        <w:rPr>
          <w:sz w:val="24"/>
          <w:szCs w:val="24"/>
        </w:rPr>
      </w:pPr>
      <w:r>
        <w:rPr>
          <w:sz w:val="24"/>
          <w:szCs w:val="24"/>
        </w:rPr>
        <w:t>Sales record</w:t>
      </w:r>
    </w:p>
    <w:p w14:paraId="5A937DBC">
      <w:pPr>
        <w:pStyle w:val="11"/>
        <w:spacing w:before="0" w:beforeAutospacing="0" w:after="0" w:afterAutospacing="0" w:line="480" w:lineRule="auto"/>
        <w:jc w:val="both"/>
      </w:pPr>
      <w:r>
        <w:t>By virtue of section 118 of the FCCPA 2018, an undertaking should provide a written record of each transaction to a consumer except where it is impracticable to do so. An example of such a written record is a receipt of purchase or an invoice.</w:t>
      </w:r>
    </w:p>
    <w:p w14:paraId="332FD43A">
      <w:pPr>
        <w:pStyle w:val="11"/>
        <w:spacing w:before="0" w:beforeAutospacing="0" w:after="0" w:afterAutospacing="0" w:line="480" w:lineRule="auto"/>
        <w:jc w:val="both"/>
      </w:pPr>
      <w:r>
        <w:t>The sales record should include details such as the vendor’s name or registered business name, address, the date of transaction, description or name of goods sold, the unit price and quantity and total price before tax, amount of tax and total price including taxes.</w:t>
      </w:r>
    </w:p>
    <w:p w14:paraId="77442E64">
      <w:pPr>
        <w:pStyle w:val="2"/>
        <w:spacing w:before="0" w:beforeAutospacing="0" w:after="0" w:afterAutospacing="0" w:line="480" w:lineRule="auto"/>
        <w:jc w:val="both"/>
        <w:rPr>
          <w:sz w:val="24"/>
          <w:szCs w:val="24"/>
        </w:rPr>
      </w:pPr>
      <w:r>
        <w:rPr>
          <w:sz w:val="24"/>
          <w:szCs w:val="24"/>
        </w:rPr>
        <w:t xml:space="preserve">Consumer’s right to select a supplier </w:t>
      </w:r>
    </w:p>
    <w:p w14:paraId="47BBF9E1">
      <w:pPr>
        <w:pStyle w:val="11"/>
        <w:spacing w:before="0" w:beforeAutospacing="0" w:after="0" w:afterAutospacing="0" w:line="480" w:lineRule="auto"/>
        <w:jc w:val="both"/>
      </w:pPr>
      <w:r>
        <w:t>An undertaking shall not require, as a condition of offering to supply or supplying any goods or services, or as a condition of entering into an agreement or transaction, that a consumer shall buy any goods or services from that undertaking or a third party unless the vendor can demonstrate that such condition would be of convenience or benefit to the customer.</w:t>
      </w:r>
      <w:r>
        <w:rPr>
          <w:rStyle w:val="7"/>
        </w:rPr>
        <w:footnoteReference w:id="76"/>
      </w:r>
      <w:r>
        <w:t xml:space="preserve"> One of the purposes of forbidding such conditions is to prevent anti-competitive agreements and conducts. </w:t>
      </w:r>
    </w:p>
    <w:p w14:paraId="4AC9BC48">
      <w:pPr>
        <w:pStyle w:val="2"/>
        <w:spacing w:before="0" w:beforeAutospacing="0" w:after="0" w:afterAutospacing="0" w:line="480" w:lineRule="auto"/>
        <w:jc w:val="both"/>
        <w:rPr>
          <w:sz w:val="24"/>
          <w:szCs w:val="24"/>
        </w:rPr>
      </w:pPr>
      <w:r>
        <w:rPr>
          <w:sz w:val="24"/>
          <w:szCs w:val="24"/>
        </w:rPr>
        <w:t>Right to cancel an advance reservation booking of order</w:t>
      </w:r>
    </w:p>
    <w:p w14:paraId="16FCD772">
      <w:pPr>
        <w:pStyle w:val="11"/>
        <w:spacing w:before="0" w:beforeAutospacing="0" w:after="0" w:afterAutospacing="0" w:line="480" w:lineRule="auto"/>
        <w:jc w:val="both"/>
      </w:pPr>
      <w:r>
        <w:t>A consumer has the right to cancel any advance booking reservation or order for any goods or services, subject to a reasonable cancellation fee of the order or reservation by the supplier or service provider.</w:t>
      </w:r>
      <w:r>
        <w:rPr>
          <w:rStyle w:val="7"/>
        </w:rPr>
        <w:footnoteReference w:id="77"/>
      </w:r>
    </w:p>
    <w:p w14:paraId="6E118D76">
      <w:pPr>
        <w:pStyle w:val="2"/>
        <w:spacing w:before="0" w:beforeAutospacing="0" w:after="0" w:afterAutospacing="0" w:line="480" w:lineRule="auto"/>
        <w:jc w:val="both"/>
        <w:rPr>
          <w:sz w:val="24"/>
          <w:szCs w:val="24"/>
        </w:rPr>
      </w:pPr>
      <w:r>
        <w:rPr>
          <w:sz w:val="24"/>
          <w:szCs w:val="24"/>
        </w:rPr>
        <w:t>Right of consumers to choose or examine goods</w:t>
      </w:r>
    </w:p>
    <w:p w14:paraId="192D451D">
      <w:pPr>
        <w:pStyle w:val="11"/>
        <w:spacing w:before="0" w:beforeAutospacing="0" w:after="0" w:afterAutospacing="0" w:line="480" w:lineRule="auto"/>
        <w:jc w:val="both"/>
      </w:pPr>
      <w:r>
        <w:t xml:space="preserve">Where goods are displayed openly by a supplier, the consumer has the right to choose and reject any item displayed before the transaction is completed. </w:t>
      </w:r>
    </w:p>
    <w:p w14:paraId="08C126E4">
      <w:pPr>
        <w:pStyle w:val="11"/>
        <w:spacing w:before="0" w:beforeAutospacing="0" w:after="0" w:afterAutospacing="0" w:line="480" w:lineRule="auto"/>
        <w:jc w:val="both"/>
      </w:pPr>
      <w:r>
        <w:t>Where a consumer has agreed to purchase goods solely on the basis of a description or sample, or both provided by a supplier, the goods delivered to the consumer should in all material respects and characteristics, correspond to what an ordinary alert consumer would have been entitled to expect based on the description, or on a reasonable examination of the sample.</w:t>
      </w:r>
    </w:p>
    <w:p w14:paraId="112F7A50">
      <w:pPr>
        <w:pStyle w:val="11"/>
        <w:spacing w:before="0" w:beforeAutospacing="0" w:after="0" w:afterAutospacing="0" w:line="480" w:lineRule="auto"/>
        <w:jc w:val="both"/>
      </w:pPr>
      <w:r>
        <w:t>A consumer isn’t liable for damage of goods displayed by the supplier except the goods were damaged by the consumer’s action which amounts to gross negligence, recklessness, malicious behaviour or criminal conduct.</w:t>
      </w:r>
      <w:r>
        <w:rPr>
          <w:rStyle w:val="7"/>
        </w:rPr>
        <w:footnoteReference w:id="78"/>
      </w:r>
    </w:p>
    <w:p w14:paraId="14DD733D">
      <w:pPr>
        <w:pStyle w:val="2"/>
        <w:spacing w:before="0" w:beforeAutospacing="0" w:after="0" w:afterAutospacing="0" w:line="480" w:lineRule="auto"/>
        <w:jc w:val="both"/>
        <w:rPr>
          <w:sz w:val="24"/>
          <w:szCs w:val="24"/>
        </w:rPr>
      </w:pPr>
      <w:r>
        <w:rPr>
          <w:sz w:val="24"/>
          <w:szCs w:val="24"/>
        </w:rPr>
        <w:t>Consumer’s right to return goods</w:t>
      </w:r>
    </w:p>
    <w:p w14:paraId="4F81738D">
      <w:pPr>
        <w:pStyle w:val="11"/>
        <w:spacing w:before="0" w:beforeAutospacing="0" w:after="0" w:afterAutospacing="0" w:line="480" w:lineRule="auto"/>
        <w:jc w:val="both"/>
      </w:pPr>
      <w:r>
        <w:t>The right to return goods is one of the most useful consumer rights in Nigeria and it is also a right that many consumers are not aware of. A consumer has the right to return delivered goods within a reasonable time if the goods are incapable of being used for the required purpose for which they were bought. By virtue of section 122(1)(a) of FCCPA 2018, such required purpose must have been communicated to the supplier.</w:t>
      </w:r>
    </w:p>
    <w:p w14:paraId="54FF5630">
      <w:pPr>
        <w:pStyle w:val="11"/>
        <w:spacing w:before="0" w:beforeAutospacing="0" w:after="0" w:afterAutospacing="0" w:line="480" w:lineRule="auto"/>
        <w:jc w:val="both"/>
      </w:pPr>
      <w:r>
        <w:t>A consumer also has the right to return goods that do not correspond with description, sample or the type and quality reasonably contemplated in the sales agreement.</w:t>
      </w:r>
      <w:r>
        <w:rPr>
          <w:rStyle w:val="7"/>
        </w:rPr>
        <w:footnoteReference w:id="79"/>
      </w:r>
    </w:p>
    <w:p w14:paraId="462B742F">
      <w:pPr>
        <w:pStyle w:val="2"/>
        <w:spacing w:before="0" w:beforeAutospacing="0" w:after="0" w:afterAutospacing="0" w:line="480" w:lineRule="auto"/>
        <w:jc w:val="both"/>
        <w:rPr>
          <w:sz w:val="24"/>
          <w:szCs w:val="24"/>
        </w:rPr>
      </w:pPr>
      <w:r>
        <w:rPr>
          <w:sz w:val="24"/>
          <w:szCs w:val="24"/>
        </w:rPr>
        <w:t xml:space="preserve">Right to fair dealings </w:t>
      </w:r>
    </w:p>
    <w:p w14:paraId="2B4D4A4B">
      <w:pPr>
        <w:pStyle w:val="11"/>
        <w:spacing w:before="0" w:beforeAutospacing="0" w:after="0" w:afterAutospacing="0" w:line="480" w:lineRule="auto"/>
        <w:jc w:val="both"/>
      </w:pPr>
      <w:r>
        <w:t>It is unlawful for an undertaking or its representative to apply physical force or harass a customer or a potential consumer when goods are being marketed, supplied or negotiated. This also applies when an undertaking is demanding payment from a consumer.</w:t>
      </w:r>
    </w:p>
    <w:p w14:paraId="28960DE5">
      <w:pPr>
        <w:pStyle w:val="11"/>
        <w:spacing w:before="0" w:beforeAutospacing="0" w:after="0" w:afterAutospacing="0" w:line="480" w:lineRule="auto"/>
        <w:jc w:val="both"/>
        <w:rPr>
          <w:vertAlign w:val="superscript"/>
        </w:rPr>
      </w:pPr>
      <w:r>
        <w:t>It is unlawful for an undertaking or its representative to knowingly take advantage of a potential consumer’s ‘mental disability, illiteracy, ignorance, inability to understand the language of an agreement, or any other similar factor’.</w:t>
      </w:r>
      <w:r>
        <w:rPr>
          <w:rStyle w:val="7"/>
        </w:rPr>
        <w:footnoteReference w:id="80"/>
      </w:r>
    </w:p>
    <w:p w14:paraId="07336E64">
      <w:pPr>
        <w:pStyle w:val="2"/>
        <w:spacing w:before="0" w:beforeAutospacing="0" w:after="0" w:afterAutospacing="0" w:line="480" w:lineRule="auto"/>
        <w:jc w:val="both"/>
        <w:rPr>
          <w:sz w:val="24"/>
          <w:szCs w:val="24"/>
        </w:rPr>
      </w:pPr>
      <w:r>
        <w:rPr>
          <w:sz w:val="24"/>
          <w:szCs w:val="24"/>
        </w:rPr>
        <w:t>False or deceptive misrepresentation</w:t>
      </w:r>
    </w:p>
    <w:p w14:paraId="3FF144F9">
      <w:pPr>
        <w:pStyle w:val="11"/>
        <w:spacing w:before="0" w:beforeAutospacing="0" w:after="0" w:afterAutospacing="0" w:line="480" w:lineRule="auto"/>
        <w:jc w:val="both"/>
      </w:pPr>
      <w:r>
        <w:t>It is unlawful for an undertaking or its representative to either directly or indirectly by words or conduct misleads a consumer as to the representation of material facts in respect of goods or services.</w:t>
      </w:r>
      <w:r>
        <w:rPr>
          <w:rStyle w:val="7"/>
        </w:rPr>
        <w:footnoteReference w:id="81"/>
      </w:r>
    </w:p>
    <w:p w14:paraId="4FE47B27">
      <w:pPr>
        <w:pStyle w:val="2"/>
        <w:spacing w:before="0" w:beforeAutospacing="0" w:after="0" w:afterAutospacing="0" w:line="480" w:lineRule="auto"/>
        <w:jc w:val="both"/>
        <w:rPr>
          <w:sz w:val="24"/>
          <w:szCs w:val="24"/>
        </w:rPr>
      </w:pPr>
      <w:r>
        <w:rPr>
          <w:sz w:val="24"/>
          <w:szCs w:val="24"/>
        </w:rPr>
        <w:t>Right pertaining to quality of goods and services</w:t>
      </w:r>
    </w:p>
    <w:p w14:paraId="1671845E">
      <w:pPr>
        <w:pStyle w:val="11"/>
        <w:spacing w:before="0" w:beforeAutospacing="0" w:after="0" w:afterAutospacing="0" w:line="480" w:lineRule="auto"/>
        <w:jc w:val="both"/>
      </w:pPr>
      <w:r>
        <w:t>When a vendor is performing a service or installing goods the customer has a right to receive quality goods or services. If the undertaking fails to render quality service or uses goods with defects, the consumer has the right to demand a remedy or a refund.</w:t>
      </w:r>
      <w:r>
        <w:rPr>
          <w:rStyle w:val="7"/>
        </w:rPr>
        <w:footnoteReference w:id="82"/>
      </w:r>
    </w:p>
    <w:p w14:paraId="6254899C">
      <w:pPr>
        <w:pStyle w:val="2"/>
        <w:spacing w:before="0" w:beforeAutospacing="0" w:after="0" w:afterAutospacing="0"/>
        <w:jc w:val="both"/>
        <w:rPr>
          <w:sz w:val="24"/>
          <w:szCs w:val="24"/>
        </w:rPr>
      </w:pPr>
      <w:r>
        <w:rPr>
          <w:sz w:val="24"/>
          <w:szCs w:val="24"/>
        </w:rPr>
        <w:t>Consumer Right to safe and quality goods</w:t>
      </w:r>
    </w:p>
    <w:p w14:paraId="769B214E">
      <w:pPr>
        <w:pStyle w:val="11"/>
        <w:jc w:val="both"/>
      </w:pPr>
      <w:r>
        <w:t>Every consumer has the right to receive goods that are suitable and durable.</w:t>
      </w:r>
      <w:r>
        <w:rPr>
          <w:rStyle w:val="7"/>
        </w:rPr>
        <w:footnoteReference w:id="83"/>
      </w:r>
    </w:p>
    <w:p w14:paraId="26480F77">
      <w:pPr>
        <w:pStyle w:val="11"/>
        <w:jc w:val="both"/>
      </w:pPr>
      <w:r>
        <w:rPr>
          <w:b/>
        </w:rPr>
        <w:t xml:space="preserve">2.2.7 Enforcement of Consumer Rights </w:t>
      </w:r>
    </w:p>
    <w:p w14:paraId="4C8B29D4">
      <w:pPr>
        <w:pStyle w:val="11"/>
        <w:spacing w:line="480" w:lineRule="auto"/>
        <w:jc w:val="both"/>
      </w:pPr>
      <w:r>
        <w:t>The Nigerian consumer laws, including the FCCPA,</w:t>
      </w:r>
      <w:r>
        <w:rPr>
          <w:rStyle w:val="7"/>
        </w:rPr>
        <w:footnoteReference w:id="84"/>
      </w:r>
      <w:r>
        <w:t xml:space="preserve"> provide for various methods by which the relevant regulatory authority can enforce consumer laws. With respect to this study, it can enforce the provisions of the FCCPA as set out below: </w:t>
      </w:r>
    </w:p>
    <w:p w14:paraId="6AA9EFFC">
      <w:pPr>
        <w:pStyle w:val="11"/>
        <w:spacing w:line="480" w:lineRule="auto"/>
        <w:jc w:val="both"/>
      </w:pPr>
      <w:r>
        <w:t>(a) by making an order against an erring undertaking, which includes consent orders, compensation for injury suffered and award of damages in favour of the complaining consumer;</w:t>
      </w:r>
    </w:p>
    <w:p w14:paraId="342EFFDA">
      <w:pPr>
        <w:pStyle w:val="11"/>
        <w:spacing w:line="480" w:lineRule="auto"/>
        <w:jc w:val="both"/>
      </w:pPr>
      <w:r>
        <w:t xml:space="preserve">(b) by issuing a compliance notice that will state the details and nature of the non-compliance, steps to be taken to rectify the non-compliance and the penalty that will be imposed if the necessary steps are not taken; </w:t>
      </w:r>
    </w:p>
    <w:p w14:paraId="464060DC">
      <w:pPr>
        <w:pStyle w:val="11"/>
        <w:spacing w:line="480" w:lineRule="auto"/>
        <w:jc w:val="both"/>
      </w:pPr>
      <w:bookmarkStart w:id="0" w:name="_GoBack"/>
      <w:bookmarkEnd w:id="0"/>
      <w:r>
        <w:t xml:space="preserve">(c) by obtaining a satisfactory written assurance from an undertaking that has persisted in a course of conduct that is detrimental to consumers; and </w:t>
      </w:r>
    </w:p>
    <w:p w14:paraId="1F496786">
      <w:pPr>
        <w:pStyle w:val="11"/>
        <w:spacing w:line="480" w:lineRule="auto"/>
        <w:jc w:val="both"/>
      </w:pPr>
      <w:r>
        <w:t xml:space="preserve">(d) where the Commission is unable to obtain the written assurance, or the undertaking has failed to comply with its written assurance or breach of compliance notice. The consumer may: </w:t>
      </w:r>
    </w:p>
    <w:p w14:paraId="478D0D65">
      <w:pPr>
        <w:numPr>
          <w:ilvl w:val="0"/>
          <w:numId w:val="9"/>
        </w:numPr>
        <w:spacing w:before="100" w:beforeAutospacing="1" w:after="100" w:afterAutospacing="1" w:line="480" w:lineRule="auto"/>
        <w:jc w:val="both"/>
        <w:rPr>
          <w:rFonts w:ascii="Times New Roman" w:hAnsi="Times New Roman" w:cs="Times New Roman"/>
          <w:sz w:val="24"/>
          <w:szCs w:val="24"/>
        </w:rPr>
      </w:pPr>
      <w:r>
        <w:rPr>
          <w:rFonts w:ascii="Times New Roman" w:hAnsi="Times New Roman" w:cs="Times New Roman"/>
          <w:sz w:val="24"/>
          <w:szCs w:val="24"/>
        </w:rPr>
        <w:t>Seek redress from civil society groups.</w:t>
      </w:r>
      <w:r>
        <w:rPr>
          <w:rStyle w:val="7"/>
          <w:rFonts w:ascii="Times New Roman" w:hAnsi="Times New Roman" w:cs="Times New Roman"/>
          <w:sz w:val="24"/>
          <w:szCs w:val="24"/>
        </w:rPr>
        <w:footnoteReference w:id="85"/>
      </w:r>
    </w:p>
    <w:p w14:paraId="69680949">
      <w:pPr>
        <w:numPr>
          <w:ilvl w:val="0"/>
          <w:numId w:val="9"/>
        </w:numPr>
        <w:spacing w:before="100" w:beforeAutospacing="1" w:after="100" w:afterAutospacing="1" w:line="480" w:lineRule="auto"/>
        <w:jc w:val="both"/>
        <w:rPr>
          <w:rFonts w:ascii="Times New Roman" w:hAnsi="Times New Roman" w:cs="Times New Roman"/>
          <w:sz w:val="24"/>
          <w:szCs w:val="24"/>
        </w:rPr>
      </w:pPr>
      <w:r>
        <w:rPr>
          <w:rFonts w:ascii="Times New Roman" w:hAnsi="Times New Roman" w:cs="Times New Roman"/>
          <w:sz w:val="24"/>
          <w:szCs w:val="24"/>
        </w:rPr>
        <w:t>Institute an action against the undertaking at the Commission</w:t>
      </w:r>
    </w:p>
    <w:p w14:paraId="7F4E08D7">
      <w:pPr>
        <w:numPr>
          <w:ilvl w:val="0"/>
          <w:numId w:val="9"/>
        </w:numPr>
        <w:spacing w:before="100" w:beforeAutospacing="1" w:after="100" w:afterAutospacing="1" w:line="480" w:lineRule="auto"/>
        <w:jc w:val="both"/>
        <w:rPr>
          <w:rFonts w:ascii="Times New Roman" w:hAnsi="Times New Roman" w:cs="Times New Roman"/>
          <w:sz w:val="24"/>
          <w:szCs w:val="24"/>
        </w:rPr>
      </w:pPr>
      <w:r>
        <w:rPr>
          <w:rFonts w:ascii="Times New Roman" w:hAnsi="Times New Roman" w:cs="Times New Roman"/>
          <w:sz w:val="24"/>
          <w:szCs w:val="24"/>
        </w:rPr>
        <w:t>A complaint can be filed directly with the Commission</w:t>
      </w:r>
      <w:r>
        <w:rPr>
          <w:rStyle w:val="7"/>
          <w:rFonts w:ascii="Times New Roman" w:hAnsi="Times New Roman" w:cs="Times New Roman"/>
          <w:sz w:val="24"/>
          <w:szCs w:val="24"/>
        </w:rPr>
        <w:footnoteReference w:id="86"/>
      </w:r>
      <w:r>
        <w:rPr>
          <w:rFonts w:ascii="Times New Roman" w:hAnsi="Times New Roman" w:cs="Times New Roman"/>
          <w:sz w:val="24"/>
          <w:szCs w:val="24"/>
        </w:rPr>
        <w:t xml:space="preserve">. </w:t>
      </w:r>
    </w:p>
    <w:p w14:paraId="51070DAE">
      <w:pPr>
        <w:numPr>
          <w:ilvl w:val="0"/>
          <w:numId w:val="9"/>
        </w:numPr>
        <w:spacing w:before="100" w:beforeAutospacing="1" w:after="100" w:afterAutospacing="1" w:line="480" w:lineRule="auto"/>
        <w:jc w:val="both"/>
        <w:rPr>
          <w:rFonts w:ascii="Times New Roman" w:hAnsi="Times New Roman" w:cs="Times New Roman"/>
          <w:sz w:val="24"/>
          <w:szCs w:val="24"/>
        </w:rPr>
      </w:pPr>
      <w:r>
        <w:rPr>
          <w:rFonts w:ascii="Times New Roman" w:hAnsi="Times New Roman" w:cs="Times New Roman"/>
          <w:sz w:val="24"/>
          <w:szCs w:val="24"/>
        </w:rPr>
        <w:t>Through the Tribunal assuming appellate jurisdiction</w:t>
      </w:r>
      <w:r>
        <w:rPr>
          <w:rStyle w:val="7"/>
          <w:rFonts w:ascii="Times New Roman" w:hAnsi="Times New Roman" w:cs="Times New Roman"/>
          <w:sz w:val="24"/>
          <w:szCs w:val="24"/>
        </w:rPr>
        <w:footnoteReference w:id="87"/>
      </w:r>
    </w:p>
    <w:p w14:paraId="78E9E1BD">
      <w:pPr>
        <w:numPr>
          <w:ilvl w:val="0"/>
          <w:numId w:val="9"/>
        </w:numPr>
        <w:spacing w:before="100" w:beforeAutospacing="1" w:after="100" w:afterAutospacing="1" w:line="480" w:lineRule="auto"/>
        <w:jc w:val="both"/>
        <w:rPr>
          <w:rFonts w:ascii="Times New Roman" w:hAnsi="Times New Roman" w:cs="Times New Roman"/>
          <w:sz w:val="24"/>
          <w:szCs w:val="24"/>
        </w:rPr>
      </w:pPr>
      <w:r>
        <w:rPr>
          <w:rFonts w:ascii="Times New Roman" w:hAnsi="Times New Roman" w:cs="Times New Roman"/>
          <w:sz w:val="24"/>
          <w:szCs w:val="24"/>
        </w:rPr>
        <w:t>Court of Appeal if dissatisfied with the decision of the Tribunal. However, a distressed consumer notwithstanding can directly approach a court within competent jurisdiction for redress.</w:t>
      </w:r>
    </w:p>
    <w:p w14:paraId="10849A1D">
      <w:pPr>
        <w:pStyle w:val="11"/>
        <w:spacing w:line="480" w:lineRule="auto"/>
        <w:jc w:val="both"/>
      </w:pPr>
      <w:r>
        <w:t xml:space="preserve">The available remedies include penalties/fines, monetary restitution or compensation (for an aggrieved consumer) and/or term of imprisonment. More specifically, the consumer has a right to return defective goods within three months, and the undertaking is expected to repair or replace such goods or return a portion of the purchase price. </w:t>
      </w:r>
    </w:p>
    <w:p w14:paraId="2182D89E">
      <w:pPr>
        <w:pStyle w:val="11"/>
        <w:spacing w:line="480" w:lineRule="auto"/>
        <w:jc w:val="both"/>
        <w:rPr>
          <w:b/>
        </w:rPr>
      </w:pPr>
    </w:p>
    <w:p w14:paraId="4BE3F27F">
      <w:pPr>
        <w:pStyle w:val="11"/>
        <w:spacing w:line="480" w:lineRule="auto"/>
        <w:jc w:val="both"/>
        <w:rPr>
          <w:b/>
        </w:rPr>
      </w:pPr>
      <w:r>
        <w:rPr>
          <w:b/>
        </w:rPr>
        <w:t xml:space="preserve">2.2.8 Compensation Order </w:t>
      </w:r>
    </w:p>
    <w:p w14:paraId="6B17DE30">
      <w:pPr>
        <w:pStyle w:val="11"/>
        <w:spacing w:line="480" w:lineRule="auto"/>
        <w:jc w:val="both"/>
      </w:pPr>
      <w:r>
        <w:t>A compensation order is an order made by a court directing an offender to pay compensation (a sum of money) to the victim of the offence for loss or injury to his person or property and for any expenses incurred as a result of the offence. The order may also take the form of restitution of property or any other item lost as a result of the offence. In addition, it may take the form of a ruling by the court that the fine imposed on the offender be paid to the victim</w:t>
      </w:r>
      <w:r>
        <w:rPr>
          <w:rStyle w:val="7"/>
        </w:rPr>
        <w:footnoteReference w:id="88"/>
      </w:r>
      <w:r>
        <w:t>.</w:t>
      </w:r>
    </w:p>
    <w:p w14:paraId="16229810">
      <w:pPr>
        <w:pStyle w:val="11"/>
        <w:spacing w:line="480" w:lineRule="auto"/>
        <w:jc w:val="both"/>
      </w:pPr>
      <w:r>
        <w:t>Section 154(1) provides that a court by or before which an undertaking is convicted of an offence under this Act may, in addition to dealing with such undertaking in any other way, make an order requiring the undertaking to pay compensation for any personal injury, loss or damage resulting from that offence of such amount as it may deem fit or as assessed by a competent professional authority. In determining whether to make a compensation order against any undertaking and the amount to be paid by any undertaking under such an order, subsection (2) enjoins the court to have regard to the means of the undertaking to pay as known to the court."</w:t>
      </w:r>
    </w:p>
    <w:p w14:paraId="0FE05465">
      <w:pPr>
        <w:pStyle w:val="11"/>
        <w:spacing w:line="480" w:lineRule="auto"/>
        <w:jc w:val="both"/>
      </w:pPr>
      <w:r>
        <w:t>Section 135 (4) makes a related provision on compensation of a victim by empowering the Commission to award compensation to a consumer who has suffered loss or injury arising from the violation by any person of provisions of section 134 of the Act (proper product labelling) or section 135 (1) (duty to withdraw hazardous goods). Section 51 equally empowered the Tribunal to issue penalties when necessary.</w:t>
      </w:r>
      <w:r>
        <w:rPr>
          <w:rStyle w:val="7"/>
        </w:rPr>
        <w:footnoteReference w:id="89"/>
      </w:r>
    </w:p>
    <w:p w14:paraId="2E51A506">
      <w:pPr>
        <w:pStyle w:val="11"/>
        <w:spacing w:line="480" w:lineRule="auto"/>
        <w:jc w:val="both"/>
        <w:rPr>
          <w:b/>
        </w:rPr>
      </w:pPr>
    </w:p>
    <w:p w14:paraId="2D273F0F">
      <w:pPr>
        <w:pStyle w:val="11"/>
        <w:spacing w:line="480" w:lineRule="auto"/>
        <w:jc w:val="both"/>
        <w:rPr>
          <w:b/>
        </w:rPr>
      </w:pPr>
      <w:r>
        <w:rPr>
          <w:b/>
        </w:rPr>
        <w:t xml:space="preserve">2.3 History of Competition and Consumer Protection Law in Nigeria </w:t>
      </w:r>
    </w:p>
    <w:p w14:paraId="744A3CDC">
      <w:pPr>
        <w:pStyle w:val="11"/>
        <w:spacing w:line="480" w:lineRule="auto"/>
        <w:jc w:val="both"/>
      </w:pPr>
      <w:r>
        <w:t>Globally, Competition Law has a long history which can be traced to the first competition legislation passed by Canada in 1889 known as Wallace Act, which was quickly followed by the US Sherman Act of 1890. Over time, several other countries keyed in and adopted the law.</w:t>
      </w:r>
    </w:p>
    <w:p w14:paraId="5E7F6CC9">
      <w:pPr>
        <w:pStyle w:val="11"/>
        <w:spacing w:line="480" w:lineRule="auto"/>
        <w:jc w:val="both"/>
      </w:pPr>
      <w:r>
        <w:t>At present, 125 countries have a competition law,</w:t>
      </w:r>
      <w:r>
        <w:rPr>
          <w:rStyle w:val="7"/>
        </w:rPr>
        <w:footnoteReference w:id="90"/>
      </w:r>
      <w:r>
        <w:t xml:space="preserve"> with Nigeria being one of the latest countries to join the league upon the signing of the Federal Competition and Consumer Protection Bill into law by the President on January 30, 2019 which is today cited as Federal Competitive and Consumer Protection Act, 2018</w:t>
      </w:r>
      <w:r>
        <w:rPr>
          <w:rStyle w:val="7"/>
        </w:rPr>
        <w:footnoteReference w:id="91"/>
      </w:r>
      <w:r>
        <w:t xml:space="preserve">. This came 17 years after the first idea for a competition law in Nigeria was touted in December 2002 when the former Director-General of the Bureau for Public Enterprises (BPE), and former governor of Kaduna State, Malam Nasiru El-Rufai, announced that the Nigerian government was going to enact a competition law that would guard against the incidence of foreign companies just dumping their products in Nigeria making it extremely hard for local companies to compete. This announcement was followed by the release of a draft competition bill to the public in early 2003 for comments by a consultant (ECU Associates) engaged by the government for that purpose. </w:t>
      </w:r>
    </w:p>
    <w:p w14:paraId="6BC4661A">
      <w:pPr>
        <w:pStyle w:val="11"/>
        <w:spacing w:line="480" w:lineRule="auto"/>
        <w:jc w:val="both"/>
      </w:pPr>
      <w:r>
        <w:t>In early 2006, a new draft Competition bill was introduced, drafted by a different consultant under the auspices of Attorney-General Bayo Ojo’s Federal Ministry of Justice (FMoJ).</w:t>
      </w:r>
    </w:p>
    <w:p w14:paraId="33307CE6">
      <w:pPr>
        <w:pStyle w:val="11"/>
        <w:spacing w:line="480" w:lineRule="auto"/>
        <w:jc w:val="both"/>
      </w:pPr>
      <w:r>
        <w:t>From 2006 till 2015, several versions of the bill were introduced for consideration and passage in every subsequent National Assembly, but all these efforts yielded little or no results due to several factors which might not be unconnected with the overbearing influence of vested interests like owners of vast business empires who saw the emergence of competition law as a threat to their businesses.</w:t>
      </w:r>
      <w:r>
        <w:rPr>
          <w:rStyle w:val="7"/>
        </w:rPr>
        <w:footnoteReference w:id="92"/>
      </w:r>
    </w:p>
    <w:p w14:paraId="330281DD">
      <w:pPr>
        <w:pStyle w:val="11"/>
        <w:spacing w:line="480" w:lineRule="auto"/>
        <w:jc w:val="both"/>
      </w:pPr>
      <w:r>
        <w:t>However, it is worthy to note at this juncture that despite the prolonged delay in the passage of the bill, a handful of results were achieved by competition law advocates. A key achievement was the subtle introduction of competition law and its principles via empowering some sector-specific regulators, especially those which were established post 2002 with competition regulatory functions. These agencies include the Nigerian Communications Commission (NCC) which has the powers to regulate competition in the communications sector pursuant to Sections 4 and 90 of the Nigerian Communications Act 2003; the Nigerian Civil Aviation Authority (NCAA) which regulates unfair business practices in the aviation sector by virtue of Section 30(4) of the Civil Aviation Act 2006; the National Insurance Commission (NAICOM) which regulates mergers in the insurance sector under Section 30 of the Insurance Act 2003; the SEC which is empowered under Sections 121 to 128 of ISA 2007 to regulate and approve mergers in Nigeria, among other competition law pretences; the Nigerian Electricity Regulatory Commission (NERC) which has the mandate to regulate competition in the power sector pursuant to Sections 30, 31, 82 of the Electric Power Sector Reforms Act 2005; the Petroleum Pricing Regulatory Agency (PPRA) which has the mandate to prevent collusion and restrictive trade practices in the downstream petroleum sector, by virtue of Section 7 (j) of the Petroleum Products Pricing Regulatory Agency Establishment (Amendment) Act 2004.</w:t>
      </w:r>
    </w:p>
    <w:p w14:paraId="0AEFADCA">
      <w:pPr>
        <w:pStyle w:val="11"/>
        <w:spacing w:line="480" w:lineRule="auto"/>
        <w:jc w:val="both"/>
        <w:rPr>
          <w:b/>
        </w:rPr>
      </w:pPr>
    </w:p>
    <w:p w14:paraId="7D9B5D83">
      <w:pPr>
        <w:pStyle w:val="11"/>
        <w:spacing w:line="480" w:lineRule="auto"/>
        <w:jc w:val="both"/>
        <w:rPr>
          <w:b/>
        </w:rPr>
      </w:pPr>
      <w:r>
        <w:rPr>
          <w:b/>
        </w:rPr>
        <w:t>2.4 Summary</w:t>
      </w:r>
    </w:p>
    <w:p w14:paraId="5A812954">
      <w:pPr>
        <w:pStyle w:val="11"/>
        <w:spacing w:line="480" w:lineRule="auto"/>
        <w:jc w:val="both"/>
      </w:pPr>
      <w:r>
        <w:t>On January 30th, 2019, the President, General Muhammadu Buhari, GCFR signed the Federal Competition and Consumer Protection Act (FCCPA) 2019 (the Act) which repealed the Consumer Protection Council Act. The FCCPA brought about a unified and codified set of rules that regulate competition law in Nigeria for the first time.  Before the enactment, there were various jurisprudential legal and Economic theories that relate to Competition and Consumer protection laws which eventually birthed this Act. In the same regard, the laws governing competition and consumer protection were separate, fragmented and industry-specific.</w:t>
      </w:r>
      <w:r>
        <w:rPr>
          <w:rStyle w:val="7"/>
        </w:rPr>
        <w:footnoteReference w:id="93"/>
      </w:r>
      <w:r>
        <w:t xml:space="preserve"> Before the FCCPA, mergers and acquisitions in Nigeria were mainly regulated by the ISA with the SEC having general regulatory oversight. However, section 849 of Company and Allied Matters Act, 2020 (CAMA), has replicated repealed sections of ISA (by the FCCPA) creating concurrent jurisdiction between Corporate Affairs Commission (CAC) and FCCPA.</w:t>
      </w:r>
      <w:r>
        <w:rPr>
          <w:rStyle w:val="7"/>
        </w:rPr>
        <w:footnoteReference w:id="94"/>
      </w:r>
      <w:r>
        <w:t xml:space="preserve"> The FCCPA has now repealed individual sections of the ISA</w:t>
      </w:r>
      <w:r>
        <w:rPr>
          <w:rStyle w:val="7"/>
        </w:rPr>
        <w:footnoteReference w:id="95"/>
      </w:r>
      <w:r>
        <w:t xml:space="preserve"> dealing with mergers and acquisitions. The supervisory control for mergers and acquisitions in Nigeria is now vested in the FCCPC and not the SEC. The Tribunal has appellate jurisdiction to acts as the competition regulator empowered to prevent and punish anti-competitive practices, regulate mergers, takeovers and acquisitions, and protect regulated industries in every sector and location in Nigeria. It also performs consumer protection functions.</w:t>
      </w:r>
    </w:p>
    <w:p w14:paraId="416D046B">
      <w:pPr>
        <w:pStyle w:val="11"/>
        <w:spacing w:line="480" w:lineRule="auto"/>
        <w:jc w:val="both"/>
      </w:pPr>
    </w:p>
    <w:p w14:paraId="5EAE795E">
      <w:pPr>
        <w:spacing w:line="480" w:lineRule="auto"/>
        <w:jc w:val="center"/>
        <w:rPr>
          <w:rFonts w:ascii="Times New Roman" w:hAnsi="Times New Roman" w:cs="Times New Roman"/>
          <w:b/>
          <w:sz w:val="24"/>
          <w:szCs w:val="24"/>
          <w:lang w:val="en-GB"/>
        </w:rPr>
      </w:pPr>
      <w:r>
        <w:rPr>
          <w:rFonts w:ascii="Times New Roman" w:hAnsi="Times New Roman" w:cs="Times New Roman"/>
          <w:b/>
          <w:sz w:val="24"/>
          <w:szCs w:val="24"/>
          <w:lang w:val="en-GB"/>
        </w:rPr>
        <w:t>CHAPTER THREE</w:t>
      </w:r>
    </w:p>
    <w:p w14:paraId="6A6F379D">
      <w:pPr>
        <w:spacing w:line="480" w:lineRule="auto"/>
        <w:jc w:val="center"/>
        <w:rPr>
          <w:rFonts w:ascii="Times New Roman" w:hAnsi="Times New Roman" w:cs="Times New Roman"/>
          <w:b/>
          <w:sz w:val="24"/>
          <w:szCs w:val="24"/>
          <w:lang w:val="en-GB"/>
        </w:rPr>
      </w:pPr>
      <w:r>
        <w:rPr>
          <w:rFonts w:ascii="Times New Roman" w:hAnsi="Times New Roman" w:cs="Times New Roman"/>
          <w:b/>
          <w:sz w:val="24"/>
          <w:szCs w:val="24"/>
          <w:lang w:val="en-GB"/>
        </w:rPr>
        <w:t>LEGAL AND INSTITUTIONAL FRAMEWORK</w:t>
      </w:r>
    </w:p>
    <w:p w14:paraId="1A7E2C63">
      <w:pPr>
        <w:spacing w:line="48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3.1 Legal Framework</w:t>
      </w:r>
    </w:p>
    <w:p w14:paraId="31B7EE83">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rules, rights and obligations of companies, governments, government institutions, and citizens are set forth in a system of legal documents called a legal framework. Documents in the legal framework include a country’s constitution, legislation, policy, regulations and contracts.</w:t>
      </w:r>
      <w:r>
        <w:rPr>
          <w:rStyle w:val="7"/>
          <w:rFonts w:ascii="Times New Roman" w:hAnsi="Times New Roman" w:cs="Times New Roman"/>
          <w:sz w:val="24"/>
          <w:szCs w:val="24"/>
          <w:lang w:val="en-GB"/>
        </w:rPr>
        <w:footnoteReference w:id="96"/>
      </w:r>
    </w:p>
    <w:p w14:paraId="718556B3">
      <w:pPr>
        <w:spacing w:line="48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3.1.1 Constitution of Federal Republic of Nigeria 1999 (as Amended)</w:t>
      </w:r>
      <w:r>
        <w:rPr>
          <w:rStyle w:val="7"/>
          <w:rFonts w:ascii="Times New Roman" w:hAnsi="Times New Roman" w:cs="Times New Roman"/>
          <w:b/>
          <w:sz w:val="24"/>
          <w:szCs w:val="24"/>
          <w:lang w:val="en-GB"/>
        </w:rPr>
        <w:footnoteReference w:id="97"/>
      </w:r>
    </w:p>
    <w:p w14:paraId="0B3A863A">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word “constitution” has been defined as the fundamental and organic law of a nation or state that establishes the institutions and apparatus of government, defines the scope of governmental sovereign powers and guarantees individual civil rights and civil liberties.</w:t>
      </w:r>
      <w:r>
        <w:rPr>
          <w:rStyle w:val="7"/>
          <w:rFonts w:ascii="Times New Roman" w:hAnsi="Times New Roman" w:cs="Times New Roman"/>
          <w:sz w:val="24"/>
          <w:szCs w:val="24"/>
          <w:lang w:val="en-GB"/>
        </w:rPr>
        <w:footnoteReference w:id="98"/>
      </w:r>
      <w:r>
        <w:rPr>
          <w:rFonts w:ascii="Times New Roman" w:hAnsi="Times New Roman" w:cs="Times New Roman"/>
          <w:sz w:val="24"/>
          <w:szCs w:val="24"/>
          <w:lang w:val="en-GB"/>
        </w:rPr>
        <w:t xml:space="preserve"> Constitutional rights are primary condition to a civilised existence. They are immutable to the extent of the non-immutability of the Constitution itself. These rights are premised on the existence of individual freedom for one’s maximum development and welfare. They are enshrined in the Constitution for the protection of the Individual from arbitrary and oppressive exercise of government powers- be they legislative, executive or judicial. They cannot be infracted or repealed by simple legislation.</w:t>
      </w:r>
      <w:r>
        <w:rPr>
          <w:rStyle w:val="7"/>
          <w:rFonts w:ascii="Times New Roman" w:hAnsi="Times New Roman" w:cs="Times New Roman"/>
          <w:sz w:val="24"/>
          <w:szCs w:val="24"/>
          <w:lang w:val="en-GB"/>
        </w:rPr>
        <w:footnoteReference w:id="99"/>
      </w:r>
      <w:r>
        <w:rPr>
          <w:rFonts w:ascii="Times New Roman" w:hAnsi="Times New Roman" w:cs="Times New Roman"/>
          <w:sz w:val="24"/>
          <w:szCs w:val="24"/>
          <w:lang w:val="en-GB"/>
        </w:rPr>
        <w:t xml:space="preserve"> This places them on a pedestal over and above the ordinary laws of the land.</w:t>
      </w:r>
      <w:r>
        <w:rPr>
          <w:rStyle w:val="7"/>
          <w:rFonts w:ascii="Times New Roman" w:hAnsi="Times New Roman" w:cs="Times New Roman"/>
          <w:sz w:val="24"/>
          <w:szCs w:val="24"/>
          <w:lang w:val="en-GB"/>
        </w:rPr>
        <w:footnoteReference w:id="100"/>
      </w:r>
      <w:r>
        <w:rPr>
          <w:rFonts w:ascii="Times New Roman" w:hAnsi="Times New Roman" w:cs="Times New Roman"/>
          <w:sz w:val="24"/>
          <w:szCs w:val="24"/>
          <w:lang w:val="en-GB"/>
        </w:rPr>
        <w:t xml:space="preserve"> The courts in interpreting their provisions do adopt the liberal and broad approach that would uphold and ensure rather than defeat their evident purpose.</w:t>
      </w:r>
      <w:r>
        <w:rPr>
          <w:rStyle w:val="7"/>
          <w:rFonts w:ascii="Times New Roman" w:hAnsi="Times New Roman" w:cs="Times New Roman"/>
          <w:sz w:val="24"/>
          <w:szCs w:val="24"/>
          <w:lang w:val="en-GB"/>
        </w:rPr>
        <w:footnoteReference w:id="101"/>
      </w:r>
    </w:p>
    <w:p w14:paraId="1C5F20ED">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According to John F. Kennedy</w:t>
      </w:r>
      <w:r>
        <w:rPr>
          <w:rStyle w:val="7"/>
          <w:rFonts w:ascii="Times New Roman" w:hAnsi="Times New Roman" w:cs="Times New Roman"/>
          <w:sz w:val="24"/>
          <w:szCs w:val="24"/>
          <w:lang w:val="en-GB"/>
        </w:rPr>
        <w:footnoteReference w:id="102"/>
      </w:r>
      <w:r>
        <w:rPr>
          <w:rFonts w:ascii="Times New Roman" w:hAnsi="Times New Roman" w:cs="Times New Roman"/>
          <w:sz w:val="24"/>
          <w:szCs w:val="24"/>
          <w:lang w:val="en-GB"/>
        </w:rPr>
        <w:t xml:space="preserve"> in 1962, Consumers all over the world are accorded various rights. He proposed four ideals for consumer protection law which he called rights: the rights to safe products, the right to demand information about a product or service, the right to a competitive marketplace and the right to get redress against a manufacturer or a distributor. The Nigeria Constitution directly or indirectly took cognisance of the above rights.</w:t>
      </w:r>
    </w:p>
    <w:p w14:paraId="34C9F3E5">
      <w:pPr>
        <w:spacing w:after="0" w:line="480" w:lineRule="auto"/>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 xml:space="preserve">The Constitution of Federal Republic of Nigeria, 1999 (as amended) (hereafter referred as “the Constitution”) is a federal constitution which is one that provides for separation of powers between the various arms of government. In an attempt to achieve its aim, the Nigerian Constitution is supreme and as such has authority over all other laws. Section 1(1) provides, </w:t>
      </w:r>
    </w:p>
    <w:p w14:paraId="7471E11A">
      <w:pPr>
        <w:spacing w:after="0" w:line="480" w:lineRule="auto"/>
        <w:ind w:left="720"/>
        <w:jc w:val="both"/>
        <w:rPr>
          <w:rFonts w:ascii="Times New Roman" w:hAnsi="Times New Roman" w:eastAsia="Times New Roman" w:cs="Times New Roman"/>
          <w:sz w:val="24"/>
          <w:szCs w:val="24"/>
          <w:lang w:val="en-GB"/>
        </w:rPr>
      </w:pPr>
      <w:r>
        <w:rPr>
          <w:rFonts w:ascii="Times New Roman" w:hAnsi="Times New Roman" w:eastAsia="Times New Roman" w:cs="Times New Roman"/>
          <w:color w:val="000000"/>
          <w:sz w:val="24"/>
          <w:szCs w:val="24"/>
          <w:lang w:val="en-GB"/>
        </w:rPr>
        <w:t>This Constitution and its provisions shall have binding force on all authorities and persons throughout the Federal Republic of Nigeria.</w:t>
      </w:r>
    </w:p>
    <w:p w14:paraId="4563C5E6">
      <w:pPr>
        <w:spacing w:after="0" w:line="480" w:lineRule="auto"/>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 xml:space="preserve"> Furthermore, section 1 (3) provides, </w:t>
      </w:r>
    </w:p>
    <w:p w14:paraId="19EA8A61">
      <w:pPr>
        <w:spacing w:after="0" w:line="480" w:lineRule="auto"/>
        <w:ind w:left="720"/>
        <w:jc w:val="both"/>
        <w:rPr>
          <w:rFonts w:ascii="Times New Roman" w:hAnsi="Times New Roman" w:eastAsia="Times New Roman" w:cs="Times New Roman"/>
          <w:sz w:val="24"/>
          <w:szCs w:val="24"/>
          <w:lang w:val="en-GB"/>
        </w:rPr>
      </w:pPr>
      <w:r>
        <w:rPr>
          <w:rFonts w:ascii="Times New Roman" w:hAnsi="Times New Roman" w:eastAsia="Times New Roman" w:cs="Times New Roman"/>
          <w:color w:val="000000"/>
          <w:sz w:val="24"/>
          <w:szCs w:val="24"/>
          <w:lang w:val="en-GB"/>
        </w:rPr>
        <w:t>If any other law is inconsistent with the provisions of this Constitution, this Constitution shall prevail and that other law shall to the extent of the inconsistency be void.</w:t>
      </w:r>
      <w:r>
        <w:rPr>
          <w:rFonts w:ascii="Times New Roman" w:hAnsi="Times New Roman" w:eastAsia="Times New Roman" w:cs="Times New Roman"/>
          <w:sz w:val="24"/>
          <w:szCs w:val="24"/>
          <w:lang w:val="en-GB"/>
        </w:rPr>
        <w:t xml:space="preserve"> </w:t>
      </w:r>
    </w:p>
    <w:p w14:paraId="00695F41">
      <w:pPr>
        <w:spacing w:after="0" w:line="480" w:lineRule="auto"/>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 xml:space="preserve">In furtherance to these provisions, it is clear that the Constitution has superior power over any other statutes or laws in Nigeria including FCCPA, and such existing laws must conform to the provisions of the Constitution or it loses its legal force. </w:t>
      </w:r>
    </w:p>
    <w:p w14:paraId="59580DA0">
      <w:pPr>
        <w:spacing w:after="0" w:line="480" w:lineRule="auto"/>
        <w:jc w:val="both"/>
        <w:rPr>
          <w:rFonts w:ascii="Times New Roman" w:hAnsi="Times New Roman" w:eastAsia="Times New Roman" w:cs="Times New Roman"/>
          <w:color w:val="000000"/>
          <w:sz w:val="24"/>
          <w:szCs w:val="24"/>
          <w:lang w:val="en-GB"/>
        </w:rPr>
      </w:pPr>
    </w:p>
    <w:p w14:paraId="56D520AC">
      <w:pPr>
        <w:spacing w:after="0" w:line="48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color w:val="000000"/>
          <w:sz w:val="24"/>
          <w:szCs w:val="24"/>
          <w:lang w:val="en-GB"/>
        </w:rPr>
        <w:t xml:space="preserve">The Constitution went further in section 14(2) (b), which provides that; the security and welfare of the people shall be the primary purpose of government. Sections 15–21 set out the several means of making sure that this objective is accomplished without breaking the underlying rights of the people, which are listed in Chapter IV of the Constitution. </w:t>
      </w:r>
    </w:p>
    <w:p w14:paraId="63D4516D">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Chapter IV provides for “fundamental rights”. The chapter did not in any way use the word consumer but their provisions are such as will one way or the other affect the life and rights of the citizens, the bulk of whom are consumers. A close examination of the consumer’s rights and the fundamental rights under Chapter IV of the Constitution reveals some semblance between the two genres of rights. The consumer’s right to safety and health is related to right to life. Right to safety and health can be inferred from the Constitution as everyone is entitled to orders refraining institutions and companies including the State from doing anything that would violate or harm a citizen’s health. </w:t>
      </w:r>
    </w:p>
    <w:p w14:paraId="0BD2D825">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Also, the Constitution has provided that the state shall direct its policy towards ensuring that the health, safety and welfare of all persons in employment are safeguarded and not endangered or abused. There are adequate medical and health facilities for all persons. The above constitutional provision is to the effect that the government of Nigeria is under an obligation to direct its policy towards ensuring the health, safety and welfare of all persons.</w:t>
      </w:r>
    </w:p>
    <w:p w14:paraId="40798A7A">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Section 39 (1) of the Constitution provides that “every person shall be entitled to freedom of expression, including freedom to hold opinions and to receive and impart ideals and information without interference”. Consumers’ good health and safety are often threatened due to lack of information concerning the quality, safety and reliability of products, goods and services that they buy. Two consumer rights are sub merged under this section, to wit, consumers’ right to information and consumers’ right to choice. Section 36 (1) of the Constitution provides that; “in the determination of his civil rights and obligation, including any question or determination by or against any government or authority, a person shall be entitled to a fair hearing within a reasonable time by a court or other tribunal established by law and constituted in such manner as to secure its independence and impartially. This section even though did not seem to make any mention of consumer redress in particular; it is pertinent to note that aggrieved consumer through the power of this constitutional provision can lodge their complaints to the Federal Competition and Consumer Protection Commission, Competitive and Consumer Protection Tribunal, or High Court, considering other provisions of the Constitution and other existing laws in that regard. It is to be noted also, that a consumer may as well seek redress in other ways other than the court or Tribunal. </w:t>
      </w:r>
    </w:p>
    <w:p w14:paraId="09F0F6C7">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Section 18 of the Constitution provides that the Government shall direct its policy towards ensuring that there are equal and adequate education opportunities. It is to be noted that consumer protection is a joint responsibility of both the government and its citizens. Consumer literacy demands that the consumer be made aware of their basic rights and responsibilities in order to be able to make an informed decision concerning choice of goods, services and pricing thereof. Consumer literacy is also central and at the root of consumer protection.</w:t>
      </w:r>
    </w:p>
    <w:p w14:paraId="488A091A">
      <w:pPr>
        <w:spacing w:after="0" w:line="480" w:lineRule="auto"/>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Section 4(2) gives the National Assembly powers to create laws for the public security, orderliness, and good government of the federation, to the exclusion of the State House of Assembly. State House of Assemble equally has such power in their respective states</w:t>
      </w:r>
      <w:r>
        <w:rPr>
          <w:rStyle w:val="7"/>
          <w:rFonts w:ascii="Times New Roman" w:hAnsi="Times New Roman" w:eastAsia="Times New Roman" w:cs="Times New Roman"/>
          <w:color w:val="000000"/>
          <w:sz w:val="24"/>
          <w:szCs w:val="24"/>
          <w:lang w:val="en-GB"/>
        </w:rPr>
        <w:footnoteReference w:id="103"/>
      </w:r>
      <w:r>
        <w:rPr>
          <w:rFonts w:ascii="Times New Roman" w:hAnsi="Times New Roman" w:eastAsia="Times New Roman" w:cs="Times New Roman"/>
          <w:color w:val="000000"/>
          <w:sz w:val="24"/>
          <w:szCs w:val="24"/>
          <w:lang w:val="en-GB"/>
        </w:rPr>
        <w:t>. Through this provision, the National Assembly and state House of Assemble have the power to make laws that regulates Competition and Consumer protection in Nigeria. Also, Section 5(1) of the 1999</w:t>
      </w:r>
    </w:p>
    <w:p w14:paraId="5FF47357">
      <w:pPr>
        <w:spacing w:after="0" w:line="480" w:lineRule="auto"/>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Constitution confers ‘the executive power of the Federation in the President of the country to make policies in different institutions of the country</w:t>
      </w:r>
      <w:r>
        <w:rPr>
          <w:rStyle w:val="7"/>
          <w:rFonts w:ascii="Times New Roman" w:hAnsi="Times New Roman" w:eastAsia="Times New Roman" w:cs="Times New Roman"/>
          <w:color w:val="000000"/>
          <w:sz w:val="24"/>
          <w:szCs w:val="24"/>
          <w:lang w:val="en-GB"/>
        </w:rPr>
        <w:footnoteReference w:id="104"/>
      </w:r>
      <w:r>
        <w:rPr>
          <w:rFonts w:ascii="Times New Roman" w:hAnsi="Times New Roman" w:eastAsia="Times New Roman" w:cs="Times New Roman"/>
          <w:color w:val="000000"/>
          <w:sz w:val="24"/>
          <w:szCs w:val="24"/>
          <w:lang w:val="en-GB"/>
        </w:rPr>
        <w:t xml:space="preserve"> while section 6(1) gave the judiciary the power to interpret laws.</w:t>
      </w:r>
    </w:p>
    <w:p w14:paraId="0B35B62E">
      <w:pPr>
        <w:spacing w:line="48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3.1.2 Federal Competitive and Consumer Protection Act, 2018</w:t>
      </w:r>
    </w:p>
    <w:p w14:paraId="2458B838">
      <w:pPr>
        <w:pStyle w:val="11"/>
        <w:spacing w:line="480" w:lineRule="auto"/>
        <w:jc w:val="both"/>
        <w:rPr>
          <w:lang w:val="en-GB"/>
        </w:rPr>
      </w:pPr>
      <w:r>
        <w:rPr>
          <w:lang w:val="en-GB"/>
        </w:rPr>
        <w:t xml:space="preserve">The general regulation of Competition and Antitrust matters in Nigeria has historically been subject to the regulatory oversight of the </w:t>
      </w:r>
      <w:r>
        <w:rPr>
          <w:rStyle w:val="12"/>
          <w:b w:val="0"/>
          <w:lang w:val="en-GB"/>
        </w:rPr>
        <w:t>SEC</w:t>
      </w:r>
      <w:r>
        <w:rPr>
          <w:lang w:val="en-GB"/>
        </w:rPr>
        <w:t>, the apex regulator of the securities market in Nigeria. Other sector-specific legislations such as the Nigerian Communications Act, 2003, have also attempted to foster competition and regulate antitrust issues to the extent permitted under such laws.  However, with the assent of the President of Federal Republic of Nigeria to the Federal Competition and Consumer Protection Act, 2018 on 30 January 2019, a comprehensive legal framework for the regulation of competition and anti-trust issues in Nigeria has been established. This legislation has been modelled and to some extent, a replica of the South Africa and European Union Competition law derived primarily from Articles 101 to 106 of the Treaty on the Functioning of the European Union.</w:t>
      </w:r>
    </w:p>
    <w:p w14:paraId="07C9F65F">
      <w:pPr>
        <w:pStyle w:val="11"/>
        <w:spacing w:line="480" w:lineRule="auto"/>
        <w:jc w:val="both"/>
        <w:rPr>
          <w:lang w:val="en-GB"/>
        </w:rPr>
      </w:pPr>
      <w:r>
        <w:rPr>
          <w:lang w:val="en-GB"/>
        </w:rPr>
        <w:t xml:space="preserve">The FCCPA introduces significant changes to the Nigeria legal system, including; the repeal of the merger provisions in the ISA 2007 and the Consumer Protection Act, 2003.  It also establishes the </w:t>
      </w:r>
      <w:r>
        <w:rPr>
          <w:rStyle w:val="12"/>
          <w:b w:val="0"/>
          <w:lang w:val="en-GB"/>
        </w:rPr>
        <w:t>Commission</w:t>
      </w:r>
      <w:r>
        <w:rPr>
          <w:lang w:val="en-GB"/>
        </w:rPr>
        <w:t xml:space="preserve">, which has the responsibility of initiating broad-based policies, advising the Federal Government on national policies relating to competition and consumer protection, performing adjudicatory role, eliminating anti-competition agreements, enforcing provisions of the FCCPA and rules and regulations made pursuant to the Act. In addition, the </w:t>
      </w:r>
      <w:r>
        <w:rPr>
          <w:rStyle w:val="12"/>
          <w:b w:val="0"/>
          <w:lang w:val="en-GB"/>
        </w:rPr>
        <w:t>Tribunal</w:t>
      </w:r>
      <w:r>
        <w:rPr>
          <w:lang w:val="en-GB"/>
        </w:rPr>
        <w:t xml:space="preserve"> is established and conferred with the jurisdiction to review decisions of the Commission and others.</w:t>
      </w:r>
    </w:p>
    <w:p w14:paraId="04B87DAF">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objectives of the FCCPA fall in three (3) categories: competition, consumer protection and economic development.</w:t>
      </w:r>
      <w:r>
        <w:rPr>
          <w:rStyle w:val="7"/>
          <w:rFonts w:ascii="Times New Roman" w:hAnsi="Times New Roman" w:cs="Times New Roman"/>
          <w:sz w:val="24"/>
          <w:szCs w:val="24"/>
          <w:lang w:val="en-GB"/>
        </w:rPr>
        <w:footnoteReference w:id="105"/>
      </w:r>
      <w:r>
        <w:rPr>
          <w:rFonts w:ascii="Times New Roman" w:hAnsi="Times New Roman" w:cs="Times New Roman"/>
          <w:sz w:val="24"/>
          <w:szCs w:val="24"/>
          <w:lang w:val="en-GB"/>
        </w:rPr>
        <w:t xml:space="preserve"> From the competition perspective, the Act seeks to promote and maintain competitive markets by eliminating restrictive or unfair business practices that prevent or distort competition or constitute an abuse of a dominant position. It also seeks to promote economic efficiency. In relation to consumer protection, the FCCPA is expected to protect consumer’s interests and welfare as well as facilitate the access to a wider variety of quality products. </w:t>
      </w:r>
    </w:p>
    <w:p w14:paraId="36A6A4D3">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FCCPA appears to provide a superior and all-encompassing framework as the provisions of all other laws and subsidiary legislation relating to competition and consumer protection must be read in conformity with its provisions.</w:t>
      </w:r>
    </w:p>
    <w:p w14:paraId="26D815F4">
      <w:pPr>
        <w:spacing w:line="48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3.1.3 Tribunal of Inquiry Act</w:t>
      </w:r>
    </w:p>
    <w:p w14:paraId="0A84AEC2">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Tribunal of Inquiry Act</w:t>
      </w:r>
      <w:r>
        <w:rPr>
          <w:rStyle w:val="7"/>
          <w:rFonts w:ascii="Times New Roman" w:hAnsi="Times New Roman" w:cs="Times New Roman"/>
          <w:sz w:val="24"/>
          <w:szCs w:val="24"/>
          <w:lang w:val="en-GB"/>
        </w:rPr>
        <w:footnoteReference w:id="106"/>
      </w:r>
      <w:r>
        <w:rPr>
          <w:rFonts w:ascii="Times New Roman" w:hAnsi="Times New Roman" w:cs="Times New Roman"/>
          <w:sz w:val="24"/>
          <w:szCs w:val="24"/>
          <w:lang w:val="en-GB"/>
        </w:rPr>
        <w:t xml:space="preserve"> is a national legislation that regulates and confers on various Tribunals the power to act in accordance with its provisions. Competitive and Consumer Protection Tribunal just like other tribunals established by the National or State legislative institutions must conform to the Act as well other provisions of the Constitutions before it can assume jurisdiction on matters and issue judgments. </w:t>
      </w:r>
    </w:p>
    <w:p w14:paraId="6726FD6D">
      <w:pPr>
        <w:pStyle w:val="11"/>
        <w:spacing w:before="0" w:beforeAutospacing="0" w:after="0" w:afterAutospacing="0" w:line="480" w:lineRule="auto"/>
        <w:jc w:val="both"/>
        <w:rPr>
          <w:lang w:val="en-GB"/>
        </w:rPr>
      </w:pPr>
      <w:r>
        <w:rPr>
          <w:lang w:val="en-GB"/>
        </w:rPr>
        <w:t>Section 3(1)</w:t>
      </w:r>
      <w:r>
        <w:rPr>
          <w:rStyle w:val="7"/>
          <w:lang w:val="en-GB"/>
        </w:rPr>
        <w:footnoteReference w:id="107"/>
      </w:r>
      <w:r>
        <w:rPr>
          <w:lang w:val="en-GB"/>
        </w:rPr>
        <w:t xml:space="preserve"> of the Act provides that every member of a tribunal shall, before entering upon his duties, make, and subscribe to, an oath that he will faithfully and impartially and to the best of his ability discharge the duties devolving upon him under the inquiry, and if the inquiry is not to be held in public, that he will not divulge the proceedings or the vote or opinion of the members or any other matter relevant to the inquiry.</w:t>
      </w:r>
    </w:p>
    <w:p w14:paraId="491937FC">
      <w:pPr>
        <w:pStyle w:val="11"/>
        <w:spacing w:after="0" w:line="480" w:lineRule="auto"/>
        <w:jc w:val="both"/>
        <w:rPr>
          <w:lang w:val="en-GB"/>
        </w:rPr>
      </w:pPr>
      <w:r>
        <w:rPr>
          <w:lang w:val="en-GB"/>
        </w:rPr>
        <w:t xml:space="preserve">Notwithstanding the fact that the professional disciplinary tribunals exercise merely disciplinary jurisdiction and not criminal, they must be guided by the principles of natural justice and fair hearing as enshrined in the constitution, particularly the principles of </w:t>
      </w:r>
      <w:r>
        <w:rPr>
          <w:i/>
          <w:lang w:val="en-GB"/>
        </w:rPr>
        <w:t>audit alta rem patem</w:t>
      </w:r>
      <w:r>
        <w:rPr>
          <w:lang w:val="en-GB"/>
        </w:rPr>
        <w:t xml:space="preserve">  and </w:t>
      </w:r>
      <w:r>
        <w:rPr>
          <w:i/>
          <w:lang w:val="en-GB"/>
        </w:rPr>
        <w:t>nemo judex in causua sua</w:t>
      </w:r>
      <w:r>
        <w:rPr>
          <w:lang w:val="en-GB"/>
        </w:rPr>
        <w:t>.</w:t>
      </w:r>
      <w:r>
        <w:rPr>
          <w:rStyle w:val="7"/>
          <w:lang w:val="en-GB"/>
        </w:rPr>
        <w:footnoteReference w:id="108"/>
      </w:r>
      <w:r>
        <w:rPr>
          <w:lang w:val="en-GB"/>
        </w:rPr>
        <w:t>The standard of impartiality requires of a full time judge is the same as those required by persons who adjudicate in administrative tribunals. Thus, where a tribunal fails to observe these principles, its decisions will be set aside.</w:t>
      </w:r>
      <w:r>
        <w:rPr>
          <w:rStyle w:val="7"/>
          <w:lang w:val="en-GB"/>
        </w:rPr>
        <w:footnoteReference w:id="109"/>
      </w:r>
      <w:r>
        <w:rPr>
          <w:lang w:val="en-GB"/>
        </w:rPr>
        <w:t>To ensure that these principles are adhered to, most of the statutes establishing these disciplinary bodies for instance, the FCCPA guarantee the rights of the parties before them to be represented by legal practitioners to ensure that rights of the parties are protected.</w:t>
      </w:r>
      <w:r>
        <w:rPr>
          <w:rStyle w:val="7"/>
          <w:lang w:val="en-GB"/>
        </w:rPr>
        <w:footnoteReference w:id="110"/>
      </w:r>
    </w:p>
    <w:p w14:paraId="7661161E">
      <w:pPr>
        <w:pStyle w:val="11"/>
        <w:spacing w:after="0" w:line="480" w:lineRule="auto"/>
        <w:jc w:val="both"/>
        <w:rPr>
          <w:lang w:val="en-GB"/>
        </w:rPr>
      </w:pPr>
      <w:r>
        <w:rPr>
          <w:lang w:val="en-GB"/>
        </w:rPr>
        <w:t>Section 5 of the Act provides for powers of the tribunal. In contemporary usage, a tribunal is the institution of a court including both the person of the judge or judges and the other officials and procedure by which the adjudication is prepared and performed. There is no inherent difference in a court called a tribunal and one called a court, although there is a tendency for military courts and other courts established by executive fiat or international decree to be called tribunals.</w:t>
      </w:r>
      <w:r>
        <w:rPr>
          <w:rStyle w:val="7"/>
          <w:lang w:val="en-GB"/>
        </w:rPr>
        <w:footnoteReference w:id="111"/>
      </w:r>
      <w:r>
        <w:rPr>
          <w:lang w:val="en-GB"/>
        </w:rPr>
        <w:t xml:space="preserve"> Both the courts and the tribunals interpret the law. However, to be able to discharge this constitutional duty of interpreting the law, it must have jurisdiction, that is, the power or authority to hear and determine controversies between parties.</w:t>
      </w:r>
      <w:r>
        <w:rPr>
          <w:rStyle w:val="7"/>
          <w:lang w:val="en-GB"/>
        </w:rPr>
        <w:footnoteReference w:id="112"/>
      </w:r>
      <w:r>
        <w:rPr>
          <w:lang w:val="en-GB"/>
        </w:rPr>
        <w:t xml:space="preserve"> Courts and tribunals determine what the law actually is. The definition of law by Oliver Wendell Holmes Jnr, to the effect that: </w:t>
      </w:r>
    </w:p>
    <w:p w14:paraId="305F85F9">
      <w:pPr>
        <w:pStyle w:val="11"/>
        <w:spacing w:after="0" w:line="480" w:lineRule="auto"/>
        <w:ind w:left="720"/>
        <w:jc w:val="both"/>
        <w:rPr>
          <w:lang w:val="en-GB"/>
        </w:rPr>
      </w:pPr>
      <w:r>
        <w:rPr>
          <w:lang w:val="en-GB"/>
        </w:rPr>
        <w:t>the prophecies of what the courts will do in fact, and nothing more pretentious, are what I mean by the law.</w:t>
      </w:r>
      <w:r>
        <w:rPr>
          <w:rStyle w:val="7"/>
          <w:lang w:val="en-GB"/>
        </w:rPr>
        <w:footnoteReference w:id="113"/>
      </w:r>
    </w:p>
    <w:p w14:paraId="64497D94">
      <w:pPr>
        <w:pStyle w:val="11"/>
        <w:spacing w:after="0" w:line="480" w:lineRule="auto"/>
        <w:jc w:val="both"/>
        <w:rPr>
          <w:lang w:val="en-GB"/>
        </w:rPr>
      </w:pPr>
      <w:r>
        <w:rPr>
          <w:lang w:val="en-GB"/>
        </w:rPr>
        <w:t>The provisions of section 5 of the Act can be summarised as follows:</w:t>
      </w:r>
    </w:p>
    <w:p w14:paraId="18A6DE4C">
      <w:pPr>
        <w:pStyle w:val="11"/>
        <w:spacing w:before="0" w:beforeAutospacing="0" w:after="0" w:afterAutospacing="0" w:line="480" w:lineRule="auto"/>
        <w:ind w:left="679"/>
        <w:jc w:val="both"/>
        <w:rPr>
          <w:lang w:val="en-GB"/>
        </w:rPr>
      </w:pPr>
      <w:r>
        <w:rPr>
          <w:lang w:val="en-GB"/>
        </w:rPr>
        <w:tab/>
      </w:r>
      <w:r>
        <w:rPr>
          <w:lang w:val="en-GB"/>
        </w:rPr>
        <w:t>subject to the provisions of this Act, a tribunal shall have and may exercise any of the following powers, that is to say-</w:t>
      </w:r>
    </w:p>
    <w:p w14:paraId="29C64FBB">
      <w:pPr>
        <w:pStyle w:val="11"/>
        <w:spacing w:before="0" w:beforeAutospacing="0" w:after="0" w:afterAutospacing="0" w:line="480" w:lineRule="auto"/>
        <w:jc w:val="both"/>
        <w:rPr>
          <w:lang w:val="en-GB"/>
        </w:rPr>
      </w:pPr>
      <w:r>
        <w:rPr>
          <w:lang w:val="en-GB"/>
        </w:rPr>
        <w:t> </w:t>
      </w:r>
    </w:p>
    <w:p w14:paraId="286D57BC">
      <w:pPr>
        <w:pStyle w:val="11"/>
        <w:spacing w:before="0" w:beforeAutospacing="0" w:after="0" w:afterAutospacing="0" w:line="480" w:lineRule="auto"/>
        <w:ind w:left="1019" w:hanging="340"/>
        <w:jc w:val="both"/>
        <w:rPr>
          <w:lang w:val="en-GB"/>
        </w:rPr>
      </w:pPr>
      <w:r>
        <w:rPr>
          <w:lang w:val="en-GB"/>
        </w:rPr>
        <w:t>(a)   the power to procure all such evidence, written or oral, and to examine all such persons as witnesses as the tribunal may think it necessary or desirable to procure or examine;</w:t>
      </w:r>
    </w:p>
    <w:p w14:paraId="7D64F011">
      <w:pPr>
        <w:pStyle w:val="11"/>
        <w:spacing w:before="0" w:beforeAutospacing="0" w:after="0" w:afterAutospacing="0" w:line="480" w:lineRule="auto"/>
        <w:ind w:left="1019" w:hanging="340"/>
        <w:jc w:val="both"/>
        <w:rPr>
          <w:lang w:val="en-GB"/>
        </w:rPr>
      </w:pPr>
      <w:r>
        <w:rPr>
          <w:lang w:val="en-GB"/>
        </w:rPr>
        <w:t>(b)   the power to require such evidence to be given on oath as is required of a witness testifying before a magistrate's court;</w:t>
      </w:r>
    </w:p>
    <w:p w14:paraId="30A5EEAB">
      <w:pPr>
        <w:pStyle w:val="11"/>
        <w:spacing w:before="0" w:beforeAutospacing="0" w:after="0" w:afterAutospacing="0" w:line="480" w:lineRule="auto"/>
        <w:ind w:left="1019" w:hanging="340"/>
        <w:jc w:val="both"/>
        <w:rPr>
          <w:lang w:val="en-GB"/>
        </w:rPr>
      </w:pPr>
      <w:r>
        <w:rPr>
          <w:lang w:val="en-GB"/>
        </w:rPr>
        <w:t> </w:t>
      </w:r>
    </w:p>
    <w:p w14:paraId="67B512AE">
      <w:pPr>
        <w:pStyle w:val="11"/>
        <w:spacing w:before="0" w:beforeAutospacing="0" w:after="0" w:afterAutospacing="0" w:line="480" w:lineRule="auto"/>
        <w:ind w:left="1019" w:hanging="340"/>
        <w:jc w:val="both"/>
        <w:rPr>
          <w:lang w:val="en-GB"/>
        </w:rPr>
      </w:pPr>
      <w:r>
        <w:rPr>
          <w:lang w:val="en-GB"/>
        </w:rPr>
        <w:t>(c)   the power to summon any person in Nigeria to attend any meeting of the tribunal to give evidence or perform other functions subject to a case before it;</w:t>
      </w:r>
    </w:p>
    <w:p w14:paraId="31126746">
      <w:pPr>
        <w:pStyle w:val="11"/>
        <w:spacing w:before="0" w:beforeAutospacing="0" w:after="0" w:afterAutospacing="0" w:line="480" w:lineRule="auto"/>
        <w:ind w:left="1019" w:hanging="340"/>
        <w:jc w:val="both"/>
        <w:rPr>
          <w:lang w:val="en-GB"/>
        </w:rPr>
      </w:pPr>
      <w:r>
        <w:rPr>
          <w:lang w:val="en-GB"/>
        </w:rPr>
        <w:t xml:space="preserve">(d)   the power to issue a warrant to compel the attendance of a person(s). </w:t>
      </w:r>
    </w:p>
    <w:p w14:paraId="58E6D60C">
      <w:pPr>
        <w:pStyle w:val="11"/>
        <w:spacing w:before="0" w:beforeAutospacing="0" w:after="0" w:afterAutospacing="0" w:line="480" w:lineRule="auto"/>
        <w:ind w:left="1019" w:hanging="340"/>
        <w:jc w:val="both"/>
        <w:rPr>
          <w:lang w:val="en-GB"/>
        </w:rPr>
      </w:pPr>
      <w:r>
        <w:rPr>
          <w:lang w:val="en-GB"/>
        </w:rPr>
        <w:t>(e)   the power to admit any evidence, whether written or oral, notwithstanding that such evidence might have been inadmissible in civil or criminal proceedings before a court, and power to act on such evidence;</w:t>
      </w:r>
    </w:p>
    <w:p w14:paraId="6BDF780F">
      <w:pPr>
        <w:pStyle w:val="11"/>
        <w:spacing w:before="0" w:beforeAutospacing="0" w:after="0" w:afterAutospacing="0" w:line="480" w:lineRule="auto"/>
        <w:ind w:left="1019" w:hanging="340"/>
        <w:jc w:val="both"/>
        <w:rPr>
          <w:lang w:val="en-GB"/>
        </w:rPr>
      </w:pPr>
      <w:r>
        <w:rPr>
          <w:lang w:val="en-GB"/>
        </w:rPr>
        <w:t>(f)    the power to appoint any person to translate any books, papers or writings produced to it;</w:t>
      </w:r>
    </w:p>
    <w:p w14:paraId="45F82790">
      <w:pPr>
        <w:pStyle w:val="11"/>
        <w:spacing w:before="0" w:beforeAutospacing="0" w:after="0" w:afterAutospacing="0" w:line="480" w:lineRule="auto"/>
        <w:ind w:left="1019" w:hanging="340"/>
        <w:jc w:val="both"/>
        <w:rPr>
          <w:lang w:val="en-GB"/>
        </w:rPr>
      </w:pPr>
      <w:r>
        <w:rPr>
          <w:lang w:val="en-GB"/>
        </w:rPr>
        <w:t xml:space="preserve">(g)   the power to enter upon any land or premises </w:t>
      </w:r>
    </w:p>
    <w:p w14:paraId="13E214E5">
      <w:pPr>
        <w:pStyle w:val="11"/>
        <w:spacing w:before="0" w:beforeAutospacing="0" w:after="0" w:afterAutospacing="0" w:line="480" w:lineRule="auto"/>
        <w:jc w:val="both"/>
        <w:rPr>
          <w:lang w:val="en-GB"/>
        </w:rPr>
      </w:pPr>
      <w:r>
        <w:rPr>
          <w:lang w:val="en-GB"/>
        </w:rPr>
        <w:t> </w:t>
      </w:r>
    </w:p>
    <w:p w14:paraId="5EDDA92D">
      <w:pPr>
        <w:pStyle w:val="11"/>
        <w:spacing w:before="0" w:beforeAutospacing="0" w:after="0" w:afterAutospacing="0" w:line="480" w:lineRule="auto"/>
        <w:jc w:val="both"/>
        <w:rPr>
          <w:lang w:val="en-GB"/>
        </w:rPr>
      </w:pPr>
      <w:r>
        <w:rPr>
          <w:lang w:val="en-GB"/>
        </w:rPr>
        <w:t xml:space="preserve">Section 9 provides for punishment against acts which negates smooth operation of the Tribunals which include: Any person who- threatens, insults or injures any person for having given evidence or on account of the evidence given before a tribunal; or  hinders or attempts to hinder any person, or by threats deters or attempts to deter any person, from giving evidence before a tribunal; or gives false evidence upon oath before a tribunal; or being duly appointed as interpreter, under this Act, wilfully gives false interpretation of any evidence or makes an untrue translation of any book, paper or writing; shall be guilty of an offence and liable on summary conviction to imprisonment for a term not exceeding two years. Section 10 equally provides for penalty for individuals who acted against its provisions if liable on summary conviction to a fine of two hundred naira or to imprisonment for a term of six months. </w:t>
      </w:r>
    </w:p>
    <w:p w14:paraId="542D15F2">
      <w:pPr>
        <w:pStyle w:val="11"/>
        <w:spacing w:before="0" w:beforeAutospacing="0" w:after="0" w:afterAutospacing="0" w:line="480" w:lineRule="auto"/>
        <w:ind w:left="340" w:hanging="340"/>
        <w:jc w:val="both"/>
        <w:rPr>
          <w:b/>
          <w:lang w:val="en-GB"/>
        </w:rPr>
      </w:pPr>
      <w:r>
        <w:rPr>
          <w:lang w:val="en-GB"/>
        </w:rPr>
        <w:t> </w:t>
      </w:r>
      <w:r>
        <w:rPr>
          <w:b/>
          <w:lang w:val="en-GB"/>
        </w:rPr>
        <w:t xml:space="preserve">3.2 Institutional Framework </w:t>
      </w:r>
    </w:p>
    <w:p w14:paraId="64BA24C6">
      <w:pPr>
        <w:pStyle w:val="11"/>
        <w:spacing w:before="0" w:beforeAutospacing="0" w:after="0" w:afterAutospacing="0" w:line="480" w:lineRule="auto"/>
        <w:jc w:val="both"/>
        <w:rPr>
          <w:lang w:val="en-GB"/>
        </w:rPr>
      </w:pPr>
      <w:r>
        <w:rPr>
          <w:lang w:val="en-GB"/>
        </w:rPr>
        <w:t>The study will examine some of the institutional framework that regulates the consumer protection industry in Nigeria hereunder.</w:t>
      </w:r>
    </w:p>
    <w:p w14:paraId="1198A4C3">
      <w:pPr>
        <w:pStyle w:val="11"/>
        <w:spacing w:before="0" w:beforeAutospacing="0" w:after="0" w:afterAutospacing="0" w:line="480" w:lineRule="auto"/>
        <w:jc w:val="both"/>
        <w:rPr>
          <w:lang w:val="en-GB"/>
        </w:rPr>
      </w:pPr>
      <w:r>
        <w:rPr>
          <w:lang w:val="en-GB"/>
        </w:rPr>
        <w:t> </w:t>
      </w:r>
    </w:p>
    <w:p w14:paraId="59019C35">
      <w:pPr>
        <w:rPr>
          <w:rFonts w:ascii="Times New Roman" w:hAnsi="Times New Roman" w:eastAsia="Times New Roman" w:cs="Times New Roman"/>
          <w:sz w:val="24"/>
          <w:szCs w:val="24"/>
          <w:lang w:val="en-GB"/>
        </w:rPr>
      </w:pPr>
      <w:r>
        <w:rPr>
          <w:lang w:val="en-GB"/>
        </w:rPr>
        <w:br w:type="page"/>
      </w:r>
    </w:p>
    <w:p w14:paraId="67BB0A34">
      <w:pPr>
        <w:pStyle w:val="11"/>
        <w:spacing w:before="0" w:beforeAutospacing="0" w:after="0" w:afterAutospacing="0" w:line="480" w:lineRule="auto"/>
        <w:jc w:val="both"/>
        <w:rPr>
          <w:b/>
          <w:lang w:val="en-GB"/>
        </w:rPr>
      </w:pPr>
      <w:r>
        <w:rPr>
          <w:b/>
          <w:lang w:val="en-GB"/>
        </w:rPr>
        <w:t>3.2.1 Federal Competitive and Consumer Protection Commission (FCCPC)</w:t>
      </w:r>
    </w:p>
    <w:p w14:paraId="27DFA81D">
      <w:pPr>
        <w:pStyle w:val="11"/>
        <w:spacing w:line="480" w:lineRule="auto"/>
        <w:jc w:val="both"/>
        <w:rPr>
          <w:lang w:val="en-GB"/>
        </w:rPr>
      </w:pPr>
      <w:r>
        <w:rPr>
          <w:lang w:val="en-GB"/>
        </w:rPr>
        <w:t>FCCPC was established by Act no 66 of 1992</w:t>
      </w:r>
      <w:r>
        <w:rPr>
          <w:rStyle w:val="7"/>
          <w:lang w:val="en-GB"/>
        </w:rPr>
        <w:footnoteReference w:id="114"/>
      </w:r>
      <w:r>
        <w:rPr>
          <w:lang w:val="en-GB"/>
        </w:rPr>
        <w:t xml:space="preserve"> and commenced operations in 1999. FCCPC was an agency under the Federal Ministry of Industry, Trade and Investment (FMITI). FCCPA establishes the Federal Competition and Consumer Protection Commission (FCCPC) as an independent body with perpetual succession and saddled with the responsibility of the administration and adjudicatory functions of the Act and regulation of economic activities. Any person who uses products or services expects to get value from them. When this expectation is not met, it gives rise to complaints. In order for FCCPC to address a complaint, the complainant must have initially engaged the provider of services or products. If not satisfied, the complainant can then file a complaint with FCCPC.</w:t>
      </w:r>
    </w:p>
    <w:p w14:paraId="785A153B">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Commission is empowered to conduct investigations, undertake inquiries, enter and search premises with a warrant issued by the Court, request for information and documents, summon attendance to take evidence or produce documents, issue directives, make orders and declarations, undertake hearings and reach decisions. Regulation-making powers are conferred on the Commission and these can be exercised in relation to restrictive agreements, abuse of dominant position, monopoly investigations, assessment of mergers, market definition, leniency programmes, and consumer protection amongst other matters. The Commission can also issue guidelines, notices as well as procedural and enforcement rules.</w:t>
      </w:r>
    </w:p>
    <w:p w14:paraId="492A68F4">
      <w:pPr>
        <w:pStyle w:val="11"/>
        <w:spacing w:line="480" w:lineRule="auto"/>
        <w:jc w:val="both"/>
        <w:rPr>
          <w:lang w:val="en-GB"/>
        </w:rPr>
      </w:pPr>
      <w:r>
        <w:rPr>
          <w:lang w:val="en-GB"/>
        </w:rPr>
        <w:t xml:space="preserve">On Tuesday, June 27, 2023, the Federal High Court; </w:t>
      </w:r>
      <w:r>
        <w:rPr>
          <w:i/>
          <w:lang w:val="en-GB"/>
        </w:rPr>
        <w:t>coram</w:t>
      </w:r>
      <w:r>
        <w:rPr>
          <w:lang w:val="en-GB"/>
        </w:rPr>
        <w:t xml:space="preserve">: Justice N. E. Maha in </w:t>
      </w:r>
      <w:r>
        <w:rPr>
          <w:i/>
          <w:lang w:val="en-GB"/>
        </w:rPr>
        <w:t>Premiere Academy Limited (Premiere) v Federal Competition and Consumer Protection Commission (Commission) and 2 Ors</w:t>
      </w:r>
      <w:r>
        <w:rPr>
          <w:rStyle w:val="7"/>
          <w:lang w:val="en-GB"/>
        </w:rPr>
        <w:footnoteReference w:id="115"/>
      </w:r>
      <w:r>
        <w:rPr>
          <w:lang w:val="en-GB"/>
        </w:rPr>
        <w:t xml:space="preserve"> dismissed a claim by Premiere and upheld the inherent powers, jurisdiction and mandate of the Commission under the FCCPA</w:t>
      </w:r>
      <w:r>
        <w:rPr>
          <w:rStyle w:val="7"/>
          <w:lang w:val="en-GB"/>
        </w:rPr>
        <w:footnoteReference w:id="116"/>
      </w:r>
      <w:r>
        <w:rPr>
          <w:lang w:val="en-GB"/>
        </w:rPr>
        <w:t>  to investigate the broadest range of consumer protection issues irrespective of whether other components (such as criminal) of the legal process is implicated by the conduct that is subject of consumer dissatisfaction.</w:t>
      </w:r>
      <w:r>
        <w:rPr>
          <w:rStyle w:val="7"/>
          <w:lang w:val="en-GB"/>
        </w:rPr>
        <w:footnoteReference w:id="117"/>
      </w:r>
    </w:p>
    <w:p w14:paraId="0655C09A">
      <w:pPr>
        <w:pStyle w:val="11"/>
        <w:spacing w:line="480" w:lineRule="auto"/>
        <w:jc w:val="both"/>
        <w:rPr>
          <w:lang w:val="en-GB"/>
        </w:rPr>
      </w:pPr>
      <w:r>
        <w:rPr>
          <w:lang w:val="en-GB"/>
        </w:rPr>
        <w:t>The functions of the Commission as stipulated in section 17 of the FCCPA can be summarised as follows:</w:t>
      </w:r>
    </w:p>
    <w:p w14:paraId="4E34E07B">
      <w:pPr>
        <w:pStyle w:val="11"/>
        <w:numPr>
          <w:ilvl w:val="0"/>
          <w:numId w:val="10"/>
        </w:numPr>
        <w:spacing w:line="480" w:lineRule="auto"/>
        <w:jc w:val="both"/>
        <w:rPr>
          <w:lang w:val="en-GB"/>
        </w:rPr>
      </w:pPr>
      <w:r>
        <w:rPr>
          <w:lang w:val="en-GB"/>
        </w:rPr>
        <w:t>Administration and enforcement of the provisions of the Act and any other enactment with respect to competition and protection of consumers.</w:t>
      </w:r>
    </w:p>
    <w:p w14:paraId="1AA891F0">
      <w:pPr>
        <w:pStyle w:val="11"/>
        <w:numPr>
          <w:ilvl w:val="0"/>
          <w:numId w:val="10"/>
        </w:numPr>
        <w:spacing w:line="480" w:lineRule="auto"/>
        <w:jc w:val="both"/>
        <w:rPr>
          <w:lang w:val="en-GB"/>
        </w:rPr>
      </w:pPr>
      <w:r>
        <w:rPr>
          <w:lang w:val="en-GB"/>
        </w:rPr>
        <w:t>Review of economic activities in Nigeria to identify anti-corruption, anti-consumer protection and restrictive practices which may adversely affect the economic interest of consumers.</w:t>
      </w:r>
    </w:p>
    <w:p w14:paraId="39B070E8">
      <w:pPr>
        <w:pStyle w:val="11"/>
        <w:numPr>
          <w:ilvl w:val="0"/>
          <w:numId w:val="10"/>
        </w:numPr>
        <w:spacing w:line="480" w:lineRule="auto"/>
        <w:jc w:val="both"/>
        <w:rPr>
          <w:lang w:val="en-GB"/>
        </w:rPr>
      </w:pPr>
      <w:r>
        <w:rPr>
          <w:lang w:val="en-GB"/>
        </w:rPr>
        <w:t>Authorise, prohibit or approve mergers of which notice is received.</w:t>
      </w:r>
    </w:p>
    <w:p w14:paraId="07F92DAB">
      <w:pPr>
        <w:pStyle w:val="11"/>
        <w:numPr>
          <w:ilvl w:val="0"/>
          <w:numId w:val="10"/>
        </w:numPr>
        <w:spacing w:line="480" w:lineRule="auto"/>
        <w:jc w:val="both"/>
        <w:rPr>
          <w:lang w:val="en-GB"/>
        </w:rPr>
      </w:pPr>
      <w:r>
        <w:rPr>
          <w:lang w:val="en-GB"/>
        </w:rPr>
        <w:t>Protect and promote consumers’ interests.</w:t>
      </w:r>
    </w:p>
    <w:p w14:paraId="14A6A811">
      <w:pPr>
        <w:pStyle w:val="11"/>
        <w:numPr>
          <w:ilvl w:val="0"/>
          <w:numId w:val="10"/>
        </w:numPr>
        <w:spacing w:line="480" w:lineRule="auto"/>
        <w:jc w:val="both"/>
        <w:rPr>
          <w:lang w:val="en-GB"/>
        </w:rPr>
      </w:pPr>
      <w:r>
        <w:rPr>
          <w:lang w:val="en-GB"/>
        </w:rPr>
        <w:t>Regulate means of removing hazardous goods and services, including controversial products from the markets and cause offenders to replace same with safer and more appropriate alternatives.</w:t>
      </w:r>
    </w:p>
    <w:p w14:paraId="0E46CFBF">
      <w:pPr>
        <w:pStyle w:val="11"/>
        <w:numPr>
          <w:ilvl w:val="0"/>
          <w:numId w:val="10"/>
        </w:numPr>
        <w:spacing w:line="480" w:lineRule="auto"/>
        <w:jc w:val="both"/>
        <w:rPr>
          <w:lang w:val="en-GB"/>
        </w:rPr>
      </w:pPr>
      <w:r>
        <w:rPr>
          <w:lang w:val="en-GB"/>
        </w:rPr>
        <w:t>Ensure that all imported goods are registered for traceability whenever the need arises. Ensure that consumers’ interest receive due consideration and provide a redress to obnoxious practices or the unscrupulous exploitation of consumers by companies, firms, trade associations or individuals.</w:t>
      </w:r>
    </w:p>
    <w:p w14:paraId="37D88B9C">
      <w:pPr>
        <w:pStyle w:val="11"/>
        <w:numPr>
          <w:ilvl w:val="0"/>
          <w:numId w:val="10"/>
        </w:numPr>
        <w:spacing w:line="480" w:lineRule="auto"/>
        <w:jc w:val="both"/>
        <w:rPr>
          <w:lang w:val="en-GB"/>
        </w:rPr>
      </w:pPr>
      <w:r>
        <w:rPr>
          <w:lang w:val="en-GB"/>
        </w:rPr>
        <w:t>Ensure the adoption of appropriate measures to guarantee that goods and services are safe for intended safe use.</w:t>
      </w:r>
    </w:p>
    <w:p w14:paraId="14632A1A">
      <w:pPr>
        <w:pStyle w:val="11"/>
        <w:numPr>
          <w:ilvl w:val="0"/>
          <w:numId w:val="10"/>
        </w:numPr>
        <w:spacing w:line="480" w:lineRule="auto"/>
        <w:jc w:val="both"/>
        <w:rPr>
          <w:lang w:val="en-GB"/>
        </w:rPr>
      </w:pPr>
      <w:r>
        <w:rPr>
          <w:lang w:val="en-GB"/>
        </w:rPr>
        <w:t>Ensure that all service providers comply with the local and international standards of quality and safe service delivery</w:t>
      </w:r>
    </w:p>
    <w:p w14:paraId="59975821">
      <w:pPr>
        <w:pStyle w:val="11"/>
        <w:numPr>
          <w:ilvl w:val="0"/>
          <w:numId w:val="10"/>
        </w:numPr>
        <w:spacing w:line="480" w:lineRule="auto"/>
        <w:jc w:val="both"/>
        <w:rPr>
          <w:lang w:val="en-GB"/>
        </w:rPr>
      </w:pPr>
      <w:r>
        <w:rPr>
          <w:lang w:val="en-GB"/>
        </w:rPr>
        <w:t>Ensure that a violating company, firm, trade association, or individual compensates, provides relief and safeguards to injured consumers from adverse effects of technologies that are harmful, injurious, or highly hazardous.</w:t>
      </w:r>
    </w:p>
    <w:p w14:paraId="023E5F58">
      <w:pPr>
        <w:pStyle w:val="11"/>
        <w:spacing w:line="480" w:lineRule="auto"/>
        <w:ind w:left="360"/>
        <w:jc w:val="both"/>
        <w:rPr>
          <w:lang w:val="en-GB"/>
        </w:rPr>
      </w:pPr>
      <w:r>
        <w:rPr>
          <w:lang w:val="en-GB"/>
        </w:rPr>
        <w:t>The powers of the Commission as stated in section 18 of the Act can be summarised to include the following:</w:t>
      </w:r>
    </w:p>
    <w:p w14:paraId="463D54E4">
      <w:pPr>
        <w:pStyle w:val="11"/>
        <w:numPr>
          <w:ilvl w:val="1"/>
          <w:numId w:val="11"/>
        </w:numPr>
        <w:spacing w:line="480" w:lineRule="auto"/>
        <w:jc w:val="both"/>
        <w:rPr>
          <w:lang w:val="en-GB"/>
        </w:rPr>
      </w:pPr>
      <w:r>
        <w:rPr>
          <w:lang w:val="en-GB"/>
        </w:rPr>
        <w:t>Power to prevent the circulation of goods or services which constitute a public hazard or imminent public hazard.</w:t>
      </w:r>
    </w:p>
    <w:p w14:paraId="03CD7E86">
      <w:pPr>
        <w:pStyle w:val="11"/>
        <w:numPr>
          <w:ilvl w:val="1"/>
          <w:numId w:val="11"/>
        </w:numPr>
        <w:spacing w:line="480" w:lineRule="auto"/>
        <w:jc w:val="both"/>
        <w:rPr>
          <w:lang w:val="en-GB"/>
        </w:rPr>
      </w:pPr>
      <w:r>
        <w:rPr>
          <w:lang w:val="en-GB"/>
        </w:rPr>
        <w:t>Power to compel manufacturers, service providers and distributors to comply with the provisions of the Act.</w:t>
      </w:r>
    </w:p>
    <w:p w14:paraId="595DFBC5">
      <w:pPr>
        <w:pStyle w:val="11"/>
        <w:numPr>
          <w:ilvl w:val="1"/>
          <w:numId w:val="11"/>
        </w:numPr>
        <w:spacing w:line="480" w:lineRule="auto"/>
        <w:jc w:val="both"/>
        <w:rPr>
          <w:lang w:val="en-GB"/>
        </w:rPr>
      </w:pPr>
      <w:r>
        <w:rPr>
          <w:lang w:val="en-GB"/>
        </w:rPr>
        <w:t>Power to seal up any premises on reasonable suspicion that such premises contains or is being used to produce goods or services that are fake or hazardous to the welfare of a consumer. Etc.</w:t>
      </w:r>
    </w:p>
    <w:p w14:paraId="2F95D2FB">
      <w:pPr>
        <w:pStyle w:val="11"/>
        <w:spacing w:line="480" w:lineRule="auto"/>
        <w:jc w:val="both"/>
        <w:rPr>
          <w:lang w:val="en-GB"/>
        </w:rPr>
      </w:pPr>
      <w:r>
        <w:rPr>
          <w:rStyle w:val="12"/>
          <w:lang w:val="en-GB"/>
        </w:rPr>
        <w:t>The Commission has thus, in demonstrating its power on Saturday September 30, 2023 where it was noted that:</w:t>
      </w:r>
      <w:r>
        <w:rPr>
          <w:b/>
          <w:lang w:val="en-GB"/>
        </w:rPr>
        <w:t> </w:t>
      </w:r>
      <w:r>
        <w:rPr>
          <w:lang w:val="en-GB"/>
        </w:rPr>
        <w:t>The Federal Competition and Consumer Protection Commission have become aware of a sad and unfortunate incident and thus opened an investigation in accordance with section 17 of FCCPA, 2018.  The ugly incidence seemed to start as criminal activity where the victim, Ms. Greatness Olorunfemi appeared to have been attacked by criminal elements, and apparently thrown out of a moving vehicle. Watchers or passersby who saw her in medical distress provided help and transported her to Maitama District Hospital. Ms. Greatness Olorunfemi tragically, ultimately died. There are disputed accounts of whether she received appropriate care, or delayed pending production of a police report.</w:t>
      </w:r>
      <w:r>
        <w:rPr>
          <w:rStyle w:val="7"/>
          <w:lang w:val="en-GB"/>
        </w:rPr>
        <w:footnoteReference w:id="118"/>
      </w:r>
    </w:p>
    <w:p w14:paraId="6BEA1023">
      <w:pPr>
        <w:pStyle w:val="11"/>
        <w:spacing w:line="480" w:lineRule="auto"/>
        <w:jc w:val="both"/>
        <w:rPr>
          <w:lang w:val="en-GB"/>
        </w:rPr>
      </w:pPr>
      <w:r>
        <w:rPr>
          <w:lang w:val="en-GB"/>
        </w:rPr>
        <w:t>Similarly, on Wednesday, August 2, 2023, the Commission has received information that an elevator malfunction at General Hospital Odan, Lagos resulted in a downward crash. Dr. Vwaere Diaso who was conducting her horsemanship medical training at the medical facility was a passenger in the elevator. She died as result of fatal injuries sustained on account of the unfortunate accident.</w:t>
      </w:r>
      <w:r>
        <w:rPr>
          <w:rStyle w:val="7"/>
          <w:lang w:val="en-GB"/>
        </w:rPr>
        <w:footnoteReference w:id="119"/>
      </w:r>
    </w:p>
    <w:p w14:paraId="57279E3A">
      <w:pPr>
        <w:spacing w:line="480" w:lineRule="auto"/>
        <w:jc w:val="both"/>
        <w:rPr>
          <w:rFonts w:ascii="Times New Roman" w:hAnsi="Times New Roman" w:eastAsia="Calibri" w:cs="Times New Roman"/>
          <w:b/>
          <w:sz w:val="24"/>
          <w:szCs w:val="24"/>
          <w:lang w:val="en-GB"/>
        </w:rPr>
      </w:pPr>
      <w:r>
        <w:rPr>
          <w:rFonts w:ascii="Times New Roman" w:hAnsi="Times New Roman" w:eastAsia="Calibri" w:cs="Times New Roman"/>
          <w:b/>
          <w:sz w:val="24"/>
          <w:szCs w:val="24"/>
          <w:lang w:val="en-GB"/>
        </w:rPr>
        <w:t xml:space="preserve">3.2.2 Competition and Consumer Protection Tribunal </w:t>
      </w:r>
    </w:p>
    <w:p w14:paraId="5DF55115">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Tribunal is established as a court that will adjudicate over conducts prohibited under the Act</w:t>
      </w:r>
      <w:r>
        <w:rPr>
          <w:rStyle w:val="7"/>
          <w:rFonts w:ascii="Times New Roman" w:hAnsi="Times New Roman" w:cs="Times New Roman"/>
          <w:sz w:val="24"/>
          <w:szCs w:val="24"/>
          <w:lang w:val="en-GB"/>
        </w:rPr>
        <w:footnoteReference w:id="120"/>
      </w:r>
      <w:r>
        <w:rPr>
          <w:rFonts w:ascii="Times New Roman" w:hAnsi="Times New Roman" w:cs="Times New Roman"/>
          <w:sz w:val="24"/>
          <w:szCs w:val="24"/>
          <w:lang w:val="en-GB"/>
        </w:rPr>
        <w:t xml:space="preserve"> and exercise the jurisdiction, powers and authority conferred on it. The Tribunal also exercises appellate jurisdiction on appeals from the decision of the Commission, decisions from regulatory authorities and make orders or rulings as may be required by the Act.</w:t>
      </w:r>
      <w:r>
        <w:rPr>
          <w:rStyle w:val="7"/>
          <w:rFonts w:ascii="Times New Roman" w:hAnsi="Times New Roman" w:cs="Times New Roman"/>
          <w:sz w:val="24"/>
          <w:szCs w:val="24"/>
          <w:lang w:val="en-GB"/>
        </w:rPr>
        <w:footnoteReference w:id="121"/>
      </w:r>
    </w:p>
    <w:p w14:paraId="452CB55A">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This was equally captured by the Chairman of the Tribunal</w:t>
      </w:r>
      <w:r>
        <w:rPr>
          <w:rFonts w:ascii="Times New Roman" w:hAnsi="Times New Roman" w:cs="Times New Roman"/>
          <w:sz w:val="24"/>
          <w:szCs w:val="24"/>
        </w:rPr>
        <w:t xml:space="preserve"> Hajiya Saratu Mama-Shafii while unveiling the body’s Rule of Practice noting;</w:t>
      </w:r>
      <w:r>
        <w:rPr>
          <w:rFonts w:ascii="Times New Roman" w:hAnsi="Times New Roman" w:cs="Times New Roman"/>
          <w:sz w:val="24"/>
          <w:szCs w:val="24"/>
          <w:lang w:val="en-GB"/>
        </w:rPr>
        <w:t xml:space="preserve"> </w:t>
      </w:r>
    </w:p>
    <w:p w14:paraId="7FD6F6D5">
      <w:pPr>
        <w:spacing w:line="480" w:lineRule="auto"/>
        <w:ind w:left="720"/>
        <w:jc w:val="both"/>
        <w:rPr>
          <w:rFonts w:ascii="Times New Roman" w:hAnsi="Times New Roman" w:cs="Times New Roman"/>
          <w:sz w:val="24"/>
          <w:szCs w:val="24"/>
          <w:lang w:val="en-GB"/>
        </w:rPr>
      </w:pPr>
      <w:r>
        <w:rPr>
          <w:rFonts w:ascii="Times New Roman" w:hAnsi="Times New Roman" w:cs="Times New Roman"/>
          <w:sz w:val="24"/>
          <w:szCs w:val="24"/>
        </w:rPr>
        <w:t>The CCPT is a specialised judicial entity…with the responsibility of an appellate body to review decisions and hear appeals on the decisions of the Federal Competition and Consumer Commission.</w:t>
      </w:r>
      <w:r>
        <w:rPr>
          <w:rFonts w:ascii="Times New Roman" w:hAnsi="Times New Roman" w:cs="Times New Roman"/>
          <w:sz w:val="24"/>
          <w:szCs w:val="24"/>
          <w:lang w:val="en-GB"/>
        </w:rPr>
        <w:t xml:space="preserve"> </w:t>
      </w:r>
    </w:p>
    <w:p w14:paraId="0AAABC31">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For the Tribunal to have jurisdiction to review or hear appeal from any regulatory authority, such matter must first be determined by the Commission.</w:t>
      </w:r>
      <w:r>
        <w:rPr>
          <w:rStyle w:val="7"/>
          <w:rFonts w:ascii="Times New Roman" w:hAnsi="Times New Roman" w:cs="Times New Roman"/>
          <w:sz w:val="24"/>
          <w:szCs w:val="24"/>
          <w:lang w:val="en-GB"/>
        </w:rPr>
        <w:footnoteReference w:id="122"/>
      </w:r>
      <w:r>
        <w:rPr>
          <w:rFonts w:ascii="Times New Roman" w:hAnsi="Times New Roman" w:cs="Times New Roman"/>
          <w:sz w:val="24"/>
          <w:szCs w:val="24"/>
          <w:lang w:val="en-GB"/>
        </w:rPr>
        <w:t xml:space="preserve"> Also, the Tribunal is equipped with the power to impose fine, penalties etc.</w:t>
      </w:r>
    </w:p>
    <w:p w14:paraId="2C1239F1">
      <w:pPr>
        <w:pStyle w:val="11"/>
        <w:spacing w:line="480" w:lineRule="auto"/>
        <w:jc w:val="both"/>
        <w:rPr>
          <w:lang w:val="en-GB"/>
        </w:rPr>
      </w:pPr>
      <w:r>
        <w:rPr>
          <w:lang w:val="en-GB"/>
        </w:rPr>
        <w:t>The CCPT sitting in Abuja on Thursday July 13, 2023 imposed a fine of N120 million against Stanbic-IBTC Bank over the bank’s failure to complete a transfer request for a customer. In a split decision of two to one, the tribunal convicted the bank for contravening the provisions of Section 130(1)(a) of the FCCP Act, 2018 and Section 5(2)(8) and (9) of the Central Bank of Nigeria Regulation on Instant Interbank Electronic Transfers.</w:t>
      </w:r>
      <w:r>
        <w:rPr>
          <w:lang w:val="en-GB"/>
        </w:rPr>
        <w:br w:type="textWrapping"/>
      </w:r>
      <w:r>
        <w:rPr>
          <w:lang w:val="en-GB"/>
        </w:rPr>
        <w:t>The tribunal said the fine was imposed due to the bank’s failure to comply with the 10 minutes or at most one hour mandatory timeline for failed transfers to be reversed as provided by Sections 154 and 155 of the FCCPA, 2018.</w:t>
      </w:r>
      <w:r>
        <w:rPr>
          <w:rStyle w:val="7"/>
          <w:lang w:val="en-GB"/>
        </w:rPr>
        <w:footnoteReference w:id="123"/>
      </w:r>
    </w:p>
    <w:p w14:paraId="64F40CDD">
      <w:pPr>
        <w:pStyle w:val="11"/>
        <w:spacing w:line="480" w:lineRule="auto"/>
        <w:jc w:val="both"/>
        <w:rPr>
          <w:lang w:val="en-GB"/>
        </w:rPr>
      </w:pPr>
      <w:r>
        <w:rPr>
          <w:lang w:val="en-GB"/>
        </w:rPr>
        <w:t>The lead judgment delivered by Hon. Sola Salako-Ajulo also ordered the bank to pay the claimant, Mr Clement Osuya, the sum of N1 million as cost of filing the action.</w:t>
      </w:r>
      <w:r>
        <w:rPr>
          <w:rStyle w:val="7"/>
          <w:lang w:val="en-GB"/>
        </w:rPr>
        <w:footnoteReference w:id="124"/>
      </w:r>
    </w:p>
    <w:p w14:paraId="4B540AC3">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decision of the Tribunal is enforced after the order, ruling, award or judgment have been registered by the Federal High Court</w:t>
      </w:r>
      <w:r>
        <w:rPr>
          <w:rStyle w:val="7"/>
          <w:rFonts w:ascii="Times New Roman" w:hAnsi="Times New Roman" w:cs="Times New Roman"/>
          <w:sz w:val="24"/>
          <w:szCs w:val="24"/>
          <w:lang w:val="en-GB"/>
        </w:rPr>
        <w:footnoteReference w:id="125"/>
      </w:r>
      <w:r>
        <w:rPr>
          <w:rFonts w:ascii="Times New Roman" w:hAnsi="Times New Roman" w:cs="Times New Roman"/>
          <w:sz w:val="24"/>
          <w:szCs w:val="24"/>
          <w:lang w:val="en-GB"/>
        </w:rPr>
        <w:t xml:space="preserve"> and where a party is not satisfied with the judgment of the Tribunal, he has right to appeal to the Court of Appeal.</w:t>
      </w:r>
      <w:r>
        <w:rPr>
          <w:rStyle w:val="7"/>
          <w:rFonts w:ascii="Times New Roman" w:hAnsi="Times New Roman" w:cs="Times New Roman"/>
          <w:sz w:val="24"/>
          <w:szCs w:val="24"/>
          <w:lang w:val="en-GB"/>
        </w:rPr>
        <w:footnoteReference w:id="126"/>
      </w:r>
    </w:p>
    <w:p w14:paraId="602983C1">
      <w:pPr>
        <w:spacing w:line="48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3.2.3 The Courts</w:t>
      </w:r>
    </w:p>
    <w:p w14:paraId="2E7FCFC5">
      <w:pPr>
        <w:spacing w:after="0" w:line="48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color w:val="000000"/>
          <w:sz w:val="24"/>
          <w:szCs w:val="24"/>
          <w:lang w:val="en-GB"/>
        </w:rPr>
        <w:t xml:space="preserve">Section 6(1) (5) of the 1999 Constitution creates: “the Supreme Court, Court of Appeal, Federal </w:t>
      </w:r>
    </w:p>
    <w:p w14:paraId="622EBC9B">
      <w:pPr>
        <w:spacing w:after="0" w:line="48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color w:val="000000"/>
          <w:sz w:val="24"/>
          <w:szCs w:val="24"/>
          <w:lang w:val="en-GB"/>
        </w:rPr>
        <w:t xml:space="preserve">High Court, High Court of a State, the Sharia Court of Appeal of the Federal Capital Territory, Abuja, a Sharia Court of Appeal of a State,  the Customary Court of Appeal of the FCT, Abuja; and the Customary Court of Appeal.” The courts established by the Nigerian Constitution are the superior courts of record. The Constitution gives the National Assembly and the House of Assembly the authority to establish courts with lesser authority than the High Court. These courts are inferior courts of record. </w:t>
      </w:r>
    </w:p>
    <w:p w14:paraId="181AB605">
      <w:pPr>
        <w:spacing w:after="0" w:line="480" w:lineRule="auto"/>
        <w:jc w:val="both"/>
        <w:rPr>
          <w:rFonts w:ascii="Times New Roman" w:hAnsi="Times New Roman" w:eastAsia="Times New Roman" w:cs="Times New Roman"/>
          <w:color w:val="000000"/>
          <w:sz w:val="24"/>
          <w:szCs w:val="24"/>
          <w:lang w:val="en-GB"/>
        </w:rPr>
      </w:pPr>
    </w:p>
    <w:p w14:paraId="5749060C">
      <w:pPr>
        <w:spacing w:after="0" w:line="480" w:lineRule="auto"/>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The study will be discussing courts that have either original or appellate jurisdiction on issues concerning anti-competition or consumer protection cases. In enforcement of Consumer rights in Nigeria, consumers whose rights have been breached can bring complaint to the producer of such product, when it fails, to the sector regulatory body regulating such product or services. If the consumer is still unsatisfied with their decision, the matter can be brought to the Commission. The Tribunal receives an appeal that arises from the decision of the Commission. The next appellate body is Court of Appeal and finally to the Supreme Court which is the highest court of record in Nigeria. However, a consumer can enforce his right through state High Court directly without following the above procedures under FCCPA. Also, a consumer can bring a matter to the Commission without necessary going through the sector regulatory body.</w:t>
      </w:r>
    </w:p>
    <w:p w14:paraId="0EDF8727">
      <w:pPr>
        <w:spacing w:after="0" w:line="480" w:lineRule="auto"/>
        <w:jc w:val="both"/>
        <w:rPr>
          <w:rFonts w:ascii="Times New Roman" w:hAnsi="Times New Roman" w:eastAsia="Times New Roman" w:cs="Times New Roman"/>
          <w:color w:val="000000"/>
          <w:sz w:val="24"/>
          <w:szCs w:val="24"/>
          <w:lang w:val="en-GB"/>
        </w:rPr>
      </w:pPr>
    </w:p>
    <w:p w14:paraId="553AE242">
      <w:pPr>
        <w:rPr>
          <w:rFonts w:ascii="Times New Roman" w:hAnsi="Times New Roman" w:eastAsia="Times New Roman" w:cs="Times New Roman"/>
          <w:b/>
          <w:bCs/>
          <w:iCs/>
          <w:color w:val="000000"/>
          <w:sz w:val="24"/>
          <w:szCs w:val="24"/>
          <w:lang w:val="en-GB"/>
        </w:rPr>
      </w:pPr>
      <w:r>
        <w:rPr>
          <w:rFonts w:ascii="Times New Roman" w:hAnsi="Times New Roman" w:eastAsia="Times New Roman" w:cs="Times New Roman"/>
          <w:b/>
          <w:bCs/>
          <w:iCs/>
          <w:color w:val="000000"/>
          <w:sz w:val="24"/>
          <w:szCs w:val="24"/>
          <w:lang w:val="en-GB"/>
        </w:rPr>
        <w:br w:type="page"/>
      </w:r>
    </w:p>
    <w:p w14:paraId="3E8529FA">
      <w:pPr>
        <w:spacing w:after="0" w:line="480" w:lineRule="auto"/>
        <w:jc w:val="both"/>
        <w:rPr>
          <w:rFonts w:ascii="Times New Roman" w:hAnsi="Times New Roman" w:eastAsia="Times New Roman" w:cs="Times New Roman"/>
          <w:b/>
          <w:bCs/>
          <w:iCs/>
          <w:color w:val="000000"/>
          <w:sz w:val="24"/>
          <w:szCs w:val="24"/>
          <w:lang w:val="en-GB"/>
        </w:rPr>
      </w:pPr>
      <w:r>
        <w:rPr>
          <w:rFonts w:ascii="Times New Roman" w:hAnsi="Times New Roman" w:eastAsia="Times New Roman" w:cs="Times New Roman"/>
          <w:b/>
          <w:bCs/>
          <w:iCs/>
          <w:color w:val="000000"/>
          <w:sz w:val="24"/>
          <w:szCs w:val="24"/>
          <w:lang w:val="en-GB"/>
        </w:rPr>
        <w:t xml:space="preserve">3.2.3.1 The Supreme Court of Nigeria </w:t>
      </w:r>
    </w:p>
    <w:p w14:paraId="422BAA10">
      <w:pPr>
        <w:spacing w:after="0" w:line="480" w:lineRule="auto"/>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This is the highest court in the hierarchy of courts in Nigeria. The judgments of the Supreme Court are binding on all other lower courts in Nigeria. The court has limited but exclusive original jurisdiction in any dispute between the Federation and a State or between States if and insofar as that dispute involves any question (whether of law or fact) on which the existence of a legal right depends.</w:t>
      </w:r>
    </w:p>
    <w:p w14:paraId="71440E62">
      <w:pPr>
        <w:spacing w:after="0" w:line="480" w:lineRule="auto"/>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Its appellate jurisdiction which is our major concern here is to decide appeals from the Court of Appeal in competition and consumer protection matters. It is worthy of note that FCCPA is silent on whether Supreme Court have appellate jurisdiction on such matter or made Court of Appeals the final. However, it can be inferred that when there is no jurisdictional restrictions, an appeal can get to the Supreme Court. Decisions reached by the Supreme Court are final</w:t>
      </w:r>
      <w:r>
        <w:rPr>
          <w:rStyle w:val="7"/>
          <w:rFonts w:ascii="Times New Roman" w:hAnsi="Times New Roman" w:eastAsia="Times New Roman" w:cs="Times New Roman"/>
          <w:color w:val="000000"/>
          <w:sz w:val="24"/>
          <w:szCs w:val="24"/>
          <w:lang w:val="en-GB"/>
        </w:rPr>
        <w:footnoteReference w:id="127"/>
      </w:r>
      <w:r>
        <w:rPr>
          <w:rFonts w:ascii="Times New Roman" w:hAnsi="Times New Roman" w:eastAsia="Times New Roman" w:cs="Times New Roman"/>
          <w:color w:val="000000"/>
          <w:sz w:val="24"/>
          <w:szCs w:val="24"/>
          <w:lang w:val="en-GB"/>
        </w:rPr>
        <w:t xml:space="preserve"> and is not open to an appeal to any other body or individual. This is however subject to some rare exceptions like the doctrine of Slip Rule circumstance.</w:t>
      </w:r>
    </w:p>
    <w:p w14:paraId="70029456">
      <w:pPr>
        <w:spacing w:after="0" w:line="480" w:lineRule="auto"/>
        <w:jc w:val="both"/>
        <w:rPr>
          <w:rFonts w:ascii="Times New Roman" w:hAnsi="Times New Roman" w:eastAsia="Times New Roman" w:cs="Times New Roman"/>
          <w:b/>
          <w:bCs/>
          <w:iCs/>
          <w:color w:val="000000"/>
          <w:sz w:val="24"/>
          <w:szCs w:val="24"/>
          <w:lang w:val="en-GB"/>
        </w:rPr>
      </w:pPr>
      <w:r>
        <w:rPr>
          <w:rFonts w:ascii="Times New Roman" w:hAnsi="Times New Roman" w:eastAsia="Times New Roman" w:cs="Times New Roman"/>
          <w:b/>
          <w:bCs/>
          <w:iCs/>
          <w:color w:val="000000"/>
          <w:sz w:val="24"/>
          <w:szCs w:val="24"/>
          <w:lang w:val="en-GB"/>
        </w:rPr>
        <w:t xml:space="preserve">3.2.3.2 The Court of Appeal </w:t>
      </w:r>
    </w:p>
    <w:p w14:paraId="66DCC24F">
      <w:pPr>
        <w:spacing w:after="0" w:line="480" w:lineRule="auto"/>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 xml:space="preserve">The Court of Appeal is next to the Supreme Court in the hierarchy of courts in Nigeria and its determinations are binding on all other lower courts. The Court of Appeal has jurisdiction to hear appeals from judgments of the State High Courts, FCT High Court, Federal High Court, the Sharia Courts of Appeal of the States or of the FCT, the Customary Courts of Appeal of the States, or of the FCT and also from judgments of a court martial or other tribunals as specified by an Act of the National Assembly like Competitive and Consumer Protection Tribunal. Section 55(1) of FCCPA provides that, </w:t>
      </w:r>
    </w:p>
    <w:p w14:paraId="240EEA4C">
      <w:pPr>
        <w:spacing w:after="0" w:line="480" w:lineRule="auto"/>
        <w:ind w:left="720"/>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any party to a proceeding who is not satisfied with the ruling, award or judgment of the Tribunal may appeal to the Court of Appeal upon giving notice in witting to the Registrar to the Tribunal within 30 days after the date on which the ruling, award or judgment was given.</w:t>
      </w:r>
    </w:p>
    <w:p w14:paraId="2601568F">
      <w:pPr>
        <w:spacing w:after="0" w:line="480" w:lineRule="auto"/>
        <w:jc w:val="both"/>
        <w:rPr>
          <w:rFonts w:ascii="Times New Roman" w:hAnsi="Times New Roman" w:eastAsia="Times New Roman" w:cs="Times New Roman"/>
          <w:color w:val="000000"/>
          <w:sz w:val="24"/>
          <w:szCs w:val="24"/>
          <w:lang w:val="en-GB"/>
        </w:rPr>
      </w:pPr>
    </w:p>
    <w:p w14:paraId="654F32DE">
      <w:pPr>
        <w:spacing w:after="0" w:line="480" w:lineRule="auto"/>
        <w:jc w:val="both"/>
        <w:rPr>
          <w:rFonts w:ascii="Times New Roman" w:hAnsi="Times New Roman" w:eastAsia="Times New Roman" w:cs="Times New Roman"/>
          <w:b/>
          <w:bCs/>
          <w:iCs/>
          <w:color w:val="000000"/>
          <w:sz w:val="24"/>
          <w:szCs w:val="24"/>
          <w:lang w:val="en-GB"/>
        </w:rPr>
      </w:pPr>
      <w:r>
        <w:rPr>
          <w:rFonts w:ascii="Times New Roman" w:hAnsi="Times New Roman" w:eastAsia="Times New Roman" w:cs="Times New Roman"/>
          <w:b/>
          <w:bCs/>
          <w:iCs/>
          <w:color w:val="000000"/>
          <w:sz w:val="24"/>
          <w:szCs w:val="24"/>
          <w:lang w:val="en-GB"/>
        </w:rPr>
        <w:t>3.2.3.3 The Federal High Court</w:t>
      </w:r>
    </w:p>
    <w:p w14:paraId="4610443A">
      <w:pPr>
        <w:spacing w:after="0" w:line="480" w:lineRule="auto"/>
        <w:jc w:val="both"/>
        <w:rPr>
          <w:rFonts w:ascii="Times New Roman" w:hAnsi="Times New Roman" w:eastAsia="Times New Roman" w:cs="Times New Roman"/>
          <w:sz w:val="24"/>
          <w:szCs w:val="24"/>
          <w:lang w:val="en-GB"/>
        </w:rPr>
      </w:pPr>
    </w:p>
    <w:p w14:paraId="5E8F794E">
      <w:pPr>
        <w:spacing w:after="0" w:line="480" w:lineRule="auto"/>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 xml:space="preserve">There is a Federal High Court, another superior court of record in Nigeria. The court has limited but exclusive jurisdiction in civil and criminal suits or cases as set out in the Constitution. Notwithstanding the FCCPA did not provide either original or appellate jurisdiction for Federal High Court, the Act did provide a role in enforcing consumer rights. </w:t>
      </w:r>
    </w:p>
    <w:p w14:paraId="5BCA9EC6">
      <w:pPr>
        <w:spacing w:after="0" w:line="48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Section 54 of FCCPA provides for registration and enforcement of the decisions of the tribunal. In paragraph (b), the decisions of the Tribunal are registered with the Federal High Court for the purpose of enforcement only.</w:t>
      </w:r>
    </w:p>
    <w:p w14:paraId="35D939D4">
      <w:pPr>
        <w:spacing w:after="0" w:line="480" w:lineRule="auto"/>
        <w:jc w:val="both"/>
        <w:rPr>
          <w:rFonts w:ascii="Times New Roman" w:hAnsi="Times New Roman" w:eastAsia="Times New Roman" w:cs="Times New Roman"/>
          <w:sz w:val="24"/>
          <w:szCs w:val="24"/>
          <w:lang w:val="en-GB"/>
        </w:rPr>
      </w:pPr>
    </w:p>
    <w:p w14:paraId="59CC8D0D">
      <w:pPr>
        <w:spacing w:after="0" w:line="48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Some scholars argued that the Tribunal has a coordinate jurisdiction with Federal High Court because Federal High Court does not have appellate jurisdiction over the decisions of the Tribunal. This study however did not agree with this submission, this research is of the opinion that the Tribunal should not be placed in such pedestal with Federal High Court. By virtue of section 54(b) of FCCPA, it is clear that the Tribunal cannot enforce its decision, hence the need for a higher court which is Federal High Court. The fact that the court does not have appellate jurisdiction over the Tribunal does not make them court of coordinate jurisdiction. </w:t>
      </w:r>
    </w:p>
    <w:p w14:paraId="19DAE431">
      <w:pPr>
        <w:spacing w:after="0" w:line="480" w:lineRule="auto"/>
        <w:jc w:val="both"/>
        <w:rPr>
          <w:rFonts w:ascii="Times New Roman" w:hAnsi="Times New Roman" w:eastAsia="Times New Roman" w:cs="Times New Roman"/>
          <w:sz w:val="24"/>
          <w:szCs w:val="24"/>
          <w:lang w:val="en-GB"/>
        </w:rPr>
      </w:pPr>
    </w:p>
    <w:p w14:paraId="67FC154E">
      <w:pPr>
        <w:spacing w:after="0" w:line="480" w:lineRule="auto"/>
        <w:jc w:val="both"/>
        <w:rPr>
          <w:rFonts w:ascii="Times New Roman" w:hAnsi="Times New Roman" w:eastAsia="Times New Roman" w:cs="Times New Roman"/>
          <w:b/>
          <w:bCs/>
          <w:iCs/>
          <w:color w:val="000000"/>
          <w:sz w:val="24"/>
          <w:szCs w:val="24"/>
          <w:lang w:val="en-GB"/>
        </w:rPr>
      </w:pPr>
      <w:r>
        <w:rPr>
          <w:rFonts w:ascii="Times New Roman" w:hAnsi="Times New Roman" w:eastAsia="Times New Roman" w:cs="Times New Roman"/>
          <w:b/>
          <w:bCs/>
          <w:iCs/>
          <w:color w:val="000000"/>
          <w:sz w:val="24"/>
          <w:szCs w:val="24"/>
          <w:lang w:val="en-GB"/>
        </w:rPr>
        <w:t>3.2.3.4 The State High Court</w:t>
      </w:r>
    </w:p>
    <w:p w14:paraId="6FC322C6">
      <w:pPr>
        <w:spacing w:after="0" w:line="480" w:lineRule="auto"/>
        <w:jc w:val="both"/>
        <w:rPr>
          <w:rFonts w:ascii="Times New Roman" w:hAnsi="Times New Roman" w:eastAsia="Times New Roman" w:cs="Times New Roman"/>
          <w:sz w:val="24"/>
          <w:szCs w:val="24"/>
          <w:lang w:val="en-GB"/>
        </w:rPr>
      </w:pPr>
    </w:p>
    <w:p w14:paraId="442E3AA8">
      <w:pPr>
        <w:spacing w:after="0" w:line="480" w:lineRule="auto"/>
        <w:jc w:val="both"/>
        <w:rPr>
          <w:rFonts w:ascii="Times New Roman" w:hAnsi="Times New Roman" w:eastAsia="Times New Roman" w:cs="Times New Roman"/>
          <w:color w:val="000000"/>
          <w:sz w:val="24"/>
          <w:szCs w:val="24"/>
          <w:lang w:val="en-GB"/>
        </w:rPr>
      </w:pPr>
      <w:r>
        <w:rPr>
          <w:rFonts w:ascii="Times New Roman" w:hAnsi="Times New Roman" w:eastAsia="Times New Roman" w:cs="Times New Roman"/>
          <w:color w:val="000000"/>
          <w:sz w:val="24"/>
          <w:szCs w:val="24"/>
          <w:lang w:val="en-GB"/>
        </w:rPr>
        <w:t xml:space="preserve">The High Courts of the States have jurisdiction over civil and criminal cases except cases in which any other court has exclusive jurisdiction, making them the courts with the most extensive jurisdiction under the Constitution. </w:t>
      </w:r>
    </w:p>
    <w:p w14:paraId="7BC66325">
      <w:pPr>
        <w:spacing w:after="0" w:line="48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color w:val="000000"/>
          <w:sz w:val="24"/>
          <w:szCs w:val="24"/>
          <w:lang w:val="en-GB"/>
        </w:rPr>
        <w:t xml:space="preserve">Procedurally, consumers should enforce their rights under the provisions of FCCPA but alternatively, an aggrieved manufacturer or service provider in cases of anti-competition practices or a consumer suffering dissatisfaction on breach of their rights can enforce their rights by instituting an action at any state High Court having territorial jurisdiction to entertain such matter.  </w:t>
      </w:r>
    </w:p>
    <w:p w14:paraId="26C43649">
      <w:pPr>
        <w:rPr>
          <w:rFonts w:ascii="Times New Roman" w:hAnsi="Times New Roman" w:cs="Times New Roman"/>
          <w:b/>
          <w:sz w:val="24"/>
          <w:szCs w:val="24"/>
        </w:rPr>
      </w:pPr>
      <w:r>
        <w:rPr>
          <w:rFonts w:ascii="Times New Roman" w:hAnsi="Times New Roman" w:cs="Times New Roman"/>
          <w:b/>
          <w:sz w:val="24"/>
          <w:szCs w:val="24"/>
        </w:rPr>
        <w:br w:type="page"/>
      </w:r>
    </w:p>
    <w:p w14:paraId="0F36F1CB">
      <w:pPr>
        <w:spacing w:line="480" w:lineRule="auto"/>
        <w:jc w:val="center"/>
        <w:rPr>
          <w:rFonts w:ascii="Times New Roman" w:hAnsi="Times New Roman" w:cs="Times New Roman"/>
          <w:b/>
          <w:sz w:val="24"/>
          <w:szCs w:val="24"/>
        </w:rPr>
      </w:pPr>
      <w:r>
        <w:rPr>
          <w:rFonts w:ascii="Times New Roman" w:hAnsi="Times New Roman" w:cs="Times New Roman"/>
          <w:b/>
          <w:sz w:val="24"/>
          <w:szCs w:val="24"/>
        </w:rPr>
        <w:t>CHAPTER FOUR</w:t>
      </w:r>
    </w:p>
    <w:p w14:paraId="7ECF86AA">
      <w:pPr>
        <w:spacing w:line="480" w:lineRule="auto"/>
        <w:jc w:val="center"/>
        <w:rPr>
          <w:rFonts w:ascii="Times New Roman" w:hAnsi="Times New Roman" w:cs="Times New Roman"/>
          <w:b/>
          <w:sz w:val="24"/>
          <w:szCs w:val="24"/>
        </w:rPr>
      </w:pPr>
      <w:r>
        <w:rPr>
          <w:rFonts w:ascii="Times New Roman" w:hAnsi="Times New Roman" w:cs="Times New Roman"/>
          <w:b/>
          <w:sz w:val="24"/>
          <w:szCs w:val="24"/>
        </w:rPr>
        <w:t>THE COMPETITION AND CONSUMER PROTECTION TRIBUNAL</w:t>
      </w:r>
    </w:p>
    <w:p w14:paraId="153622CE">
      <w:pPr>
        <w:spacing w:line="480" w:lineRule="auto"/>
        <w:jc w:val="both"/>
        <w:rPr>
          <w:rFonts w:ascii="Times New Roman" w:hAnsi="Times New Roman" w:cs="Times New Roman"/>
          <w:b/>
          <w:sz w:val="24"/>
          <w:szCs w:val="24"/>
        </w:rPr>
      </w:pPr>
      <w:r>
        <w:rPr>
          <w:rFonts w:ascii="Times New Roman" w:hAnsi="Times New Roman" w:cs="Times New Roman"/>
          <w:b/>
          <w:sz w:val="24"/>
          <w:szCs w:val="24"/>
        </w:rPr>
        <w:t>4.1. Establishment of Competition and Consumer Protection Tribunal</w:t>
      </w:r>
    </w:p>
    <w:p w14:paraId="484ED3CD">
      <w:pPr>
        <w:spacing w:line="480" w:lineRule="auto"/>
        <w:jc w:val="both"/>
        <w:rPr>
          <w:rFonts w:ascii="Times New Roman" w:hAnsi="Times New Roman" w:cs="Times New Roman"/>
          <w:sz w:val="24"/>
          <w:szCs w:val="24"/>
        </w:rPr>
      </w:pPr>
      <w:r>
        <w:rPr>
          <w:rFonts w:ascii="Times New Roman" w:hAnsi="Times New Roman" w:cs="Times New Roman"/>
          <w:sz w:val="24"/>
          <w:szCs w:val="24"/>
        </w:rPr>
        <w:t>The Competition and Consumer Protection Tribunal (CCPT) was set up by an Act of Parliament, the Federal Competition and Consumer Protection Act, 2018.</w:t>
      </w:r>
      <w:r>
        <w:rPr>
          <w:rStyle w:val="7"/>
          <w:rFonts w:ascii="Times New Roman" w:hAnsi="Times New Roman" w:cs="Times New Roman"/>
          <w:sz w:val="24"/>
          <w:szCs w:val="24"/>
        </w:rPr>
        <w:footnoteReference w:id="128"/>
      </w:r>
      <w:r>
        <w:rPr>
          <w:rFonts w:ascii="Times New Roman" w:hAnsi="Times New Roman" w:cs="Times New Roman"/>
          <w:sz w:val="24"/>
          <w:szCs w:val="24"/>
        </w:rPr>
        <w:t xml:space="preserve"> Section 39 of the FCCPA provides the Tribunal with requisite authority to adjudicate on matters prohibited by the same act, amongst other functions.</w:t>
      </w:r>
      <w:r>
        <w:rPr>
          <w:rStyle w:val="7"/>
          <w:rFonts w:ascii="Times New Roman" w:hAnsi="Times New Roman" w:cs="Times New Roman"/>
          <w:sz w:val="24"/>
          <w:szCs w:val="24"/>
        </w:rPr>
        <w:footnoteReference w:id="129"/>
      </w:r>
      <w:r>
        <w:rPr>
          <w:rFonts w:ascii="Times New Roman" w:hAnsi="Times New Roman" w:cs="Times New Roman"/>
          <w:sz w:val="24"/>
          <w:szCs w:val="24"/>
        </w:rPr>
        <w:t xml:space="preserve"> The Tribunal was established for the development and promotion of fair, efficient and competitive markets in the Nigerian economy and to facilitate access by all citizens to rights of consumers and swift delivery of justice to consumers, service providers and manufactures.</w:t>
      </w:r>
    </w:p>
    <w:p w14:paraId="085160AC">
      <w:pPr>
        <w:spacing w:line="480" w:lineRule="auto"/>
        <w:jc w:val="both"/>
        <w:rPr>
          <w:rFonts w:ascii="Times New Roman" w:hAnsi="Times New Roman" w:cs="Times New Roman"/>
          <w:b/>
          <w:sz w:val="24"/>
          <w:szCs w:val="24"/>
        </w:rPr>
      </w:pPr>
      <w:r>
        <w:rPr>
          <w:rFonts w:ascii="Times New Roman" w:hAnsi="Times New Roman" w:cs="Times New Roman"/>
          <w:b/>
          <w:sz w:val="24"/>
          <w:szCs w:val="24"/>
        </w:rPr>
        <w:t>4.1.1 Composition of the Tribunal</w:t>
      </w:r>
    </w:p>
    <w:p w14:paraId="2333B2C1">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Competition and Consumer Protection Tribunal consists of the Chairman and six </w:t>
      </w:r>
      <w:r>
        <w:rPr>
          <w:rFonts w:ascii="Times New Roman" w:hAnsi="Times New Roman" w:cs="Times New Roman"/>
          <w:sz w:val="24"/>
          <w:szCs w:val="24"/>
          <w:lang w:val="en-GB"/>
        </w:rPr>
        <w:t>Honourable</w:t>
      </w:r>
      <w:r>
        <w:rPr>
          <w:rFonts w:ascii="Times New Roman" w:hAnsi="Times New Roman" w:cs="Times New Roman"/>
          <w:sz w:val="24"/>
          <w:szCs w:val="24"/>
        </w:rPr>
        <w:t xml:space="preserve"> members from the six geopolitical zones in Nigeria. The composition of the Tribunal is not a specific professional based type; the body is made up of both lawyers and non lawyers having in-depth knowledge in any of the professions provided by the Act.</w:t>
      </w:r>
      <w:r>
        <w:rPr>
          <w:rStyle w:val="7"/>
          <w:rFonts w:ascii="Times New Roman" w:hAnsi="Times New Roman" w:cs="Times New Roman"/>
          <w:sz w:val="24"/>
          <w:szCs w:val="24"/>
        </w:rPr>
        <w:footnoteReference w:id="130"/>
      </w:r>
      <w:r>
        <w:rPr>
          <w:rFonts w:ascii="Times New Roman" w:hAnsi="Times New Roman" w:cs="Times New Roman"/>
          <w:sz w:val="24"/>
          <w:szCs w:val="24"/>
        </w:rPr>
        <w:t xml:space="preserve"> </w:t>
      </w:r>
    </w:p>
    <w:p w14:paraId="094FE00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At the course of adjudicating a case, the Tribunal is properly constituted by not less than three (3) honourable members. </w:t>
      </w:r>
    </w:p>
    <w:p w14:paraId="01E7471A">
      <w:pPr>
        <w:rPr>
          <w:rFonts w:ascii="Times New Roman" w:hAnsi="Times New Roman" w:cs="Times New Roman"/>
          <w:b/>
          <w:sz w:val="24"/>
          <w:szCs w:val="24"/>
        </w:rPr>
      </w:pPr>
      <w:r>
        <w:rPr>
          <w:rFonts w:ascii="Times New Roman" w:hAnsi="Times New Roman" w:cs="Times New Roman"/>
          <w:b/>
          <w:sz w:val="24"/>
          <w:szCs w:val="24"/>
        </w:rPr>
        <w:br w:type="page"/>
      </w:r>
    </w:p>
    <w:p w14:paraId="2F83FFE9">
      <w:pPr>
        <w:spacing w:line="480" w:lineRule="auto"/>
        <w:jc w:val="both"/>
        <w:rPr>
          <w:rFonts w:ascii="Times New Roman" w:hAnsi="Times New Roman" w:cs="Times New Roman"/>
          <w:b/>
          <w:sz w:val="24"/>
          <w:szCs w:val="24"/>
        </w:rPr>
      </w:pPr>
      <w:r>
        <w:rPr>
          <w:rFonts w:ascii="Times New Roman" w:hAnsi="Times New Roman" w:cs="Times New Roman"/>
          <w:b/>
          <w:sz w:val="24"/>
          <w:szCs w:val="24"/>
        </w:rPr>
        <w:t>4.1.2 Qualification of Members of the Tribunal</w:t>
      </w:r>
    </w:p>
    <w:p w14:paraId="24360708">
      <w:pPr>
        <w:spacing w:line="480" w:lineRule="auto"/>
        <w:jc w:val="both"/>
        <w:rPr>
          <w:rFonts w:ascii="Times New Roman" w:hAnsi="Times New Roman" w:cs="Times New Roman"/>
          <w:sz w:val="24"/>
          <w:szCs w:val="24"/>
        </w:rPr>
      </w:pPr>
      <w:r>
        <w:rPr>
          <w:rFonts w:ascii="Times New Roman" w:hAnsi="Times New Roman" w:cs="Times New Roman"/>
          <w:sz w:val="24"/>
          <w:szCs w:val="24"/>
        </w:rPr>
        <w:t>The qualifications of the members are provided under section 40(1) of the Act. They include the following;</w:t>
      </w:r>
    </w:p>
    <w:p w14:paraId="6C3BC0D3">
      <w:pPr>
        <w:pStyle w:val="17"/>
        <w:numPr>
          <w:ilvl w:val="0"/>
          <w:numId w:val="12"/>
        </w:num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A chairman must be a legal practitioner with not less than l0 years post-call and cognate experience in the field of competition, consumer protection or commercial and industrial law.</w:t>
      </w:r>
    </w:p>
    <w:p w14:paraId="40D7DBE5">
      <w:pPr>
        <w:pStyle w:val="17"/>
        <w:numPr>
          <w:ilvl w:val="0"/>
          <w:numId w:val="12"/>
        </w:num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Six other members, with at least l0 years professional experience in any one or more of the following educational fields- </w:t>
      </w:r>
    </w:p>
    <w:p w14:paraId="76AEE669">
      <w:pPr>
        <w:pStyle w:val="17"/>
        <w:numPr>
          <w:ilvl w:val="0"/>
          <w:numId w:val="13"/>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Competition and consumer protection law. </w:t>
      </w:r>
    </w:p>
    <w:p w14:paraId="46D55AF2">
      <w:pPr>
        <w:pStyle w:val="17"/>
        <w:numPr>
          <w:ilvl w:val="0"/>
          <w:numId w:val="13"/>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Commerce and industry, </w:t>
      </w:r>
    </w:p>
    <w:p w14:paraId="3BA780E8">
      <w:pPr>
        <w:pStyle w:val="17"/>
        <w:numPr>
          <w:ilvl w:val="0"/>
          <w:numId w:val="13"/>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Public affairs, </w:t>
      </w:r>
    </w:p>
    <w:p w14:paraId="432A8055">
      <w:pPr>
        <w:pStyle w:val="17"/>
        <w:numPr>
          <w:ilvl w:val="0"/>
          <w:numId w:val="13"/>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Economics, </w:t>
      </w:r>
    </w:p>
    <w:p w14:paraId="05DFB0BD">
      <w:pPr>
        <w:pStyle w:val="17"/>
        <w:numPr>
          <w:ilvl w:val="0"/>
          <w:numId w:val="13"/>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Finance, or </w:t>
      </w:r>
    </w:p>
    <w:p w14:paraId="288CFB62">
      <w:pPr>
        <w:pStyle w:val="17"/>
        <w:numPr>
          <w:ilvl w:val="0"/>
          <w:numId w:val="13"/>
        </w:numPr>
        <w:spacing w:line="480" w:lineRule="auto"/>
        <w:jc w:val="both"/>
        <w:rPr>
          <w:rFonts w:ascii="Times New Roman" w:hAnsi="Times New Roman" w:cs="Times New Roman"/>
          <w:sz w:val="24"/>
          <w:szCs w:val="24"/>
        </w:rPr>
      </w:pPr>
      <w:r>
        <w:rPr>
          <w:rFonts w:ascii="Times New Roman" w:hAnsi="Times New Roman" w:eastAsia="Times New Roman" w:cs="Times New Roman"/>
          <w:color w:val="000000"/>
          <w:sz w:val="24"/>
          <w:szCs w:val="24"/>
        </w:rPr>
        <w:t>Business administration or management.</w:t>
      </w:r>
    </w:p>
    <w:p w14:paraId="2C62A9C9">
      <w:pPr>
        <w:pStyle w:val="17"/>
        <w:spacing w:line="480" w:lineRule="auto"/>
        <w:jc w:val="both"/>
        <w:rPr>
          <w:rFonts w:ascii="Times New Roman" w:hAnsi="Times New Roman" w:cs="Times New Roman"/>
          <w:sz w:val="24"/>
          <w:szCs w:val="24"/>
        </w:rPr>
      </w:pPr>
    </w:p>
    <w:p w14:paraId="200CAE77">
      <w:pPr>
        <w:pStyle w:val="17"/>
        <w:numPr>
          <w:ilvl w:val="0"/>
          <w:numId w:val="12"/>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chairman and members of the Tribunal are subject to appointment and approval by a national body. Section 40(2) provides; </w:t>
      </w:r>
      <w:r>
        <w:rPr>
          <w:rFonts w:ascii="Times New Roman" w:hAnsi="Times New Roman" w:eastAsia="Times New Roman" w:cs="Times New Roman"/>
          <w:color w:val="000000"/>
          <w:sz w:val="24"/>
          <w:szCs w:val="24"/>
        </w:rPr>
        <w:t>the Chairman and other members of the Tribunal shall be appointed by the President subject to confirmation by the Senate.</w:t>
      </w:r>
      <w:r>
        <w:rPr>
          <w:rStyle w:val="7"/>
          <w:rFonts w:ascii="Times New Roman" w:hAnsi="Times New Roman" w:eastAsia="Times New Roman" w:cs="Times New Roman"/>
          <w:color w:val="000000"/>
          <w:sz w:val="24"/>
          <w:szCs w:val="24"/>
        </w:rPr>
        <w:footnoteReference w:id="131"/>
      </w:r>
    </w:p>
    <w:p w14:paraId="60B7E892">
      <w:pPr>
        <w:spacing w:line="480" w:lineRule="auto"/>
        <w:jc w:val="both"/>
        <w:rPr>
          <w:rFonts w:ascii="Times New Roman" w:hAnsi="Times New Roman" w:cs="Times New Roman"/>
          <w:sz w:val="24"/>
          <w:szCs w:val="24"/>
        </w:rPr>
      </w:pPr>
      <w:r>
        <w:rPr>
          <w:rFonts w:ascii="Times New Roman" w:hAnsi="Times New Roman" w:cs="Times New Roman"/>
          <w:sz w:val="24"/>
          <w:szCs w:val="24"/>
        </w:rPr>
        <w:t>A person cannot be admitted as a member of Tribunal on any or all of the following grounds:</w:t>
      </w:r>
    </w:p>
    <w:p w14:paraId="52BD3FED">
      <w:pPr>
        <w:pStyle w:val="17"/>
        <w:numPr>
          <w:ilvl w:val="0"/>
          <w:numId w:val="14"/>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an un-discharged bankrupt; </w:t>
      </w:r>
    </w:p>
    <w:p w14:paraId="1B12A681">
      <w:pPr>
        <w:pStyle w:val="17"/>
        <w:numPr>
          <w:ilvl w:val="0"/>
          <w:numId w:val="14"/>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under any order of a competent court, declared mentally unfit; </w:t>
      </w:r>
    </w:p>
    <w:p w14:paraId="588F4E85">
      <w:pPr>
        <w:pStyle w:val="17"/>
        <w:numPr>
          <w:ilvl w:val="0"/>
          <w:numId w:val="14"/>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a convicted felon under the laws of Nigeria;</w:t>
      </w:r>
    </w:p>
    <w:p w14:paraId="110DE351">
      <w:pPr>
        <w:pStyle w:val="17"/>
        <w:numPr>
          <w:ilvl w:val="0"/>
          <w:numId w:val="14"/>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found guilty of serious misconduct incapacitating the person from</w:t>
      </w:r>
      <w:r>
        <w:rPr>
          <w:rFonts w:ascii="Times New Roman" w:hAnsi="Times New Roman" w:eastAsia="Times New Roman" w:cs="Times New Roman"/>
          <w:sz w:val="24"/>
          <w:szCs w:val="24"/>
        </w:rPr>
        <w:t xml:space="preserve"> </w:t>
      </w:r>
      <w:r>
        <w:rPr>
          <w:rFonts w:ascii="Times New Roman" w:hAnsi="Times New Roman" w:eastAsia="Times New Roman" w:cs="Times New Roman"/>
          <w:color w:val="000000"/>
          <w:sz w:val="24"/>
          <w:szCs w:val="24"/>
        </w:rPr>
        <w:t xml:space="preserve">carrying out the functions of the office; or </w:t>
      </w:r>
    </w:p>
    <w:p w14:paraId="004C66C0">
      <w:pPr>
        <w:pStyle w:val="17"/>
        <w:numPr>
          <w:ilvl w:val="0"/>
          <w:numId w:val="14"/>
        </w:num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found to have been engaging in any activity that may undermine the integrity of the Tribunal.</w:t>
      </w:r>
    </w:p>
    <w:p w14:paraId="2F151DEF">
      <w:pPr>
        <w:spacing w:line="480" w:lineRule="auto"/>
        <w:jc w:val="both"/>
        <w:rPr>
          <w:rFonts w:ascii="Times New Roman" w:hAnsi="Times New Roman" w:cs="Times New Roman"/>
          <w:b/>
          <w:sz w:val="24"/>
          <w:szCs w:val="24"/>
        </w:rPr>
      </w:pPr>
      <w:r>
        <w:rPr>
          <w:rFonts w:ascii="Times New Roman" w:hAnsi="Times New Roman" w:cs="Times New Roman"/>
          <w:b/>
          <w:sz w:val="24"/>
          <w:szCs w:val="24"/>
        </w:rPr>
        <w:t>4.1.3 Tenure of Office of Members of the Tribunal</w:t>
      </w:r>
    </w:p>
    <w:p w14:paraId="5F37DD14">
      <w:pPr>
        <w:tabs>
          <w:tab w:val="left" w:pos="3586"/>
        </w:tabs>
        <w:spacing w:line="480" w:lineRule="auto"/>
        <w:jc w:val="both"/>
        <w:rPr>
          <w:rFonts w:ascii="Times New Roman" w:hAnsi="Times New Roman" w:cs="Times New Roman"/>
          <w:sz w:val="24"/>
          <w:szCs w:val="24"/>
        </w:rPr>
      </w:pPr>
      <w:r>
        <w:rPr>
          <w:rFonts w:ascii="Times New Roman" w:hAnsi="Times New Roman" w:cs="Times New Roman"/>
          <w:sz w:val="24"/>
          <w:szCs w:val="24"/>
        </w:rPr>
        <w:t>The tenure of office of the members of the Tribunal is five (5) years from the date of confirmation or upon the attainment of 70 years, whichever comes first.</w:t>
      </w:r>
      <w:r>
        <w:rPr>
          <w:rStyle w:val="7"/>
          <w:rFonts w:ascii="Times New Roman" w:hAnsi="Times New Roman" w:cs="Times New Roman"/>
          <w:sz w:val="24"/>
          <w:szCs w:val="24"/>
        </w:rPr>
        <w:footnoteReference w:id="132"/>
      </w:r>
    </w:p>
    <w:p w14:paraId="2FA9192A">
      <w:pPr>
        <w:spacing w:line="480" w:lineRule="auto"/>
        <w:jc w:val="both"/>
        <w:rPr>
          <w:rFonts w:ascii="Times New Roman" w:hAnsi="Times New Roman" w:cs="Times New Roman"/>
          <w:b/>
          <w:sz w:val="24"/>
          <w:szCs w:val="24"/>
        </w:rPr>
      </w:pPr>
      <w:r>
        <w:rPr>
          <w:rFonts w:ascii="Times New Roman" w:hAnsi="Times New Roman" w:cs="Times New Roman"/>
          <w:b/>
          <w:sz w:val="24"/>
          <w:szCs w:val="24"/>
        </w:rPr>
        <w:t>4.1.4 Registrar of the Tribunal</w:t>
      </w:r>
    </w:p>
    <w:p w14:paraId="58EA070B">
      <w:pPr>
        <w:pStyle w:val="11"/>
        <w:spacing w:line="480" w:lineRule="auto"/>
        <w:jc w:val="both"/>
        <w:rPr>
          <w:b/>
        </w:rPr>
      </w:pPr>
      <w:r>
        <w:t xml:space="preserve">Court Registrars are public officers or officials who carry out indispensable administrative functions in the Nigerian judicial system.  They are the official </w:t>
      </w:r>
      <w:r>
        <w:rPr>
          <w:i/>
        </w:rPr>
        <w:t>bolts</w:t>
      </w:r>
      <w:r>
        <w:t xml:space="preserve">, </w:t>
      </w:r>
      <w:r>
        <w:rPr>
          <w:i/>
        </w:rPr>
        <w:t>nuts</w:t>
      </w:r>
      <w:r>
        <w:t xml:space="preserve"> and </w:t>
      </w:r>
      <w:r>
        <w:rPr>
          <w:i/>
        </w:rPr>
        <w:t>grease</w:t>
      </w:r>
      <w:r>
        <w:t xml:space="preserve"> that make the wheel of justice run smoothly. The Registrar of Court, which includes also the Deputy Sheriff is said to be a servant of the Court. In</w:t>
      </w:r>
      <w:r>
        <w:rPr>
          <w:i/>
        </w:rPr>
        <w:t xml:space="preserve"> SBM Services (Nigeria) Ltd. &amp; Ors v Okon &amp; Ors</w:t>
      </w:r>
      <w:r>
        <w:rPr>
          <w:rStyle w:val="7"/>
          <w:i/>
        </w:rPr>
        <w:footnoteReference w:id="133"/>
      </w:r>
      <w:r>
        <w:rPr>
          <w:b/>
        </w:rPr>
        <w:t>;</w:t>
      </w:r>
    </w:p>
    <w:p w14:paraId="13542802">
      <w:pPr>
        <w:pStyle w:val="11"/>
        <w:spacing w:line="480" w:lineRule="auto"/>
        <w:ind w:left="720" w:firstLine="45"/>
        <w:jc w:val="both"/>
      </w:pPr>
      <w:r>
        <w:t xml:space="preserve">Reliance on court officials as the registrar who is expected to be </w:t>
      </w:r>
      <w:r>
        <w:rPr>
          <w:lang w:val="en-GB"/>
        </w:rPr>
        <w:t>seised</w:t>
      </w:r>
      <w:r>
        <w:t xml:space="preserve"> with facts relating to the administrative aspect of the any case in court, such as the filing of same in the registry, payment of the correct fees for filing, issue of service of processes etc., by a Magistrate or a Judge is </w:t>
      </w:r>
      <w:r>
        <w:rPr>
          <w:i/>
        </w:rPr>
        <w:t>sine qua non</w:t>
      </w:r>
      <w:r>
        <w:t xml:space="preserve"> to the smooth running of the state of affairs in the citadel of justice. Once a document is in the court’s file, the knowledge of it by the Registrar is imputed to the Court.</w:t>
      </w:r>
    </w:p>
    <w:p w14:paraId="141BAE76">
      <w:pPr>
        <w:pStyle w:val="11"/>
        <w:spacing w:line="480" w:lineRule="auto"/>
        <w:jc w:val="both"/>
      </w:pPr>
      <w:r>
        <w:t xml:space="preserve">The highlight by erudite judge indicate vital role a register plays in administration of justice in the court. </w:t>
      </w:r>
    </w:p>
    <w:p w14:paraId="5416475E">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Section 45 of the Act empowered The Tribunal to appoint a Registrar who shall be a person </w:t>
      </w:r>
      <w:r>
        <w:rPr>
          <w:rFonts w:ascii="Times New Roman" w:hAnsi="Times New Roman" w:eastAsia="Times New Roman" w:cs="Times New Roman"/>
          <w:color w:val="000000"/>
          <w:sz w:val="24"/>
          <w:szCs w:val="24"/>
          <w:lang w:val="en-GB"/>
        </w:rPr>
        <w:t>qualified</w:t>
      </w:r>
      <w:r>
        <w:rPr>
          <w:rFonts w:ascii="Times New Roman" w:hAnsi="Times New Roman" w:eastAsia="Times New Roman" w:cs="Times New Roman"/>
          <w:color w:val="000000"/>
          <w:sz w:val="24"/>
          <w:szCs w:val="24"/>
        </w:rPr>
        <w:t xml:space="preserve"> to serve as the Registrar of a High Court, and shall- </w:t>
      </w:r>
    </w:p>
    <w:p w14:paraId="3F31AAE0">
      <w:pPr>
        <w:spacing w:after="0" w:line="480" w:lineRule="auto"/>
        <w:jc w:val="both"/>
        <w:rPr>
          <w:rFonts w:ascii="Times New Roman" w:hAnsi="Times New Roman" w:eastAsia="Times New Roman" w:cs="Times New Roman"/>
          <w:sz w:val="24"/>
          <w:szCs w:val="24"/>
        </w:rPr>
      </w:pPr>
    </w:p>
    <w:p w14:paraId="0DD566B7">
      <w:pPr>
        <w:pStyle w:val="17"/>
        <w:numPr>
          <w:ilvl w:val="0"/>
          <w:numId w:val="15"/>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subject to the general control on the Commission, be responsible for keeping records of the proceedings of the Tribunal;</w:t>
      </w:r>
    </w:p>
    <w:p w14:paraId="6197ECBB">
      <w:pPr>
        <w:pStyle w:val="17"/>
        <w:numPr>
          <w:ilvl w:val="0"/>
          <w:numId w:val="15"/>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be the head of the Registry and responsible for;</w:t>
      </w:r>
    </w:p>
    <w:p w14:paraId="4E4063B8">
      <w:pPr>
        <w:pStyle w:val="17"/>
        <w:numPr>
          <w:ilvl w:val="0"/>
          <w:numId w:val="15"/>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the day-to-day administration of the Tribunal, and</w:t>
      </w:r>
    </w:p>
    <w:p w14:paraId="67C341EB">
      <w:pPr>
        <w:pStyle w:val="17"/>
        <w:numPr>
          <w:ilvl w:val="0"/>
          <w:numId w:val="15"/>
        </w:numPr>
        <w:spacing w:before="100" w:beforeAutospacing="1" w:after="100" w:afterAutospacing="1"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the direction and control of all other employees of the Tribunal.</w:t>
      </w:r>
    </w:p>
    <w:p w14:paraId="1DF0ECA0">
      <w:pPr>
        <w:spacing w:line="480" w:lineRule="auto"/>
        <w:jc w:val="both"/>
        <w:rPr>
          <w:rFonts w:ascii="Times New Roman" w:hAnsi="Times New Roman" w:cs="Times New Roman"/>
          <w:sz w:val="24"/>
          <w:szCs w:val="24"/>
        </w:rPr>
      </w:pPr>
      <w:r>
        <w:rPr>
          <w:rFonts w:ascii="Times New Roman" w:hAnsi="Times New Roman" w:cs="Times New Roman"/>
          <w:sz w:val="24"/>
          <w:szCs w:val="24"/>
        </w:rPr>
        <w:t>The tribunal equally has power to appoint other staffs as may be necessary.</w:t>
      </w:r>
      <w:r>
        <w:rPr>
          <w:rStyle w:val="7"/>
          <w:rFonts w:ascii="Times New Roman" w:hAnsi="Times New Roman" w:cs="Times New Roman"/>
          <w:sz w:val="24"/>
          <w:szCs w:val="24"/>
        </w:rPr>
        <w:footnoteReference w:id="134"/>
      </w:r>
    </w:p>
    <w:p w14:paraId="1AED7D04">
      <w:pPr>
        <w:spacing w:line="480" w:lineRule="auto"/>
        <w:jc w:val="both"/>
        <w:rPr>
          <w:rFonts w:ascii="Times New Roman" w:hAnsi="Times New Roman" w:cs="Times New Roman"/>
          <w:b/>
          <w:sz w:val="24"/>
          <w:szCs w:val="24"/>
        </w:rPr>
      </w:pPr>
      <w:r>
        <w:rPr>
          <w:rFonts w:ascii="Times New Roman" w:hAnsi="Times New Roman" w:cs="Times New Roman"/>
          <w:b/>
          <w:sz w:val="24"/>
          <w:szCs w:val="24"/>
        </w:rPr>
        <w:t>4.1.5 Jurisdiction of the Tribunal</w:t>
      </w:r>
    </w:p>
    <w:p w14:paraId="6243BEF2">
      <w:pPr>
        <w:pStyle w:val="11"/>
        <w:spacing w:line="480" w:lineRule="auto"/>
        <w:jc w:val="both"/>
      </w:pPr>
      <w:r>
        <w:rPr>
          <w:rStyle w:val="12"/>
          <w:b w:val="0"/>
        </w:rPr>
        <w:t xml:space="preserve">In </w:t>
      </w:r>
      <w:r>
        <w:rPr>
          <w:rStyle w:val="12"/>
          <w:b w:val="0"/>
          <w:i/>
        </w:rPr>
        <w:t>Zuru v Fakai</w:t>
      </w:r>
      <w:r>
        <w:rPr>
          <w:rStyle w:val="7"/>
          <w:bCs/>
          <w:i/>
        </w:rPr>
        <w:footnoteReference w:id="135"/>
      </w:r>
      <w:r>
        <w:rPr>
          <w:rStyle w:val="12"/>
          <w:b w:val="0"/>
        </w:rPr>
        <w:t>,</w:t>
      </w:r>
      <w:r>
        <w:rPr>
          <w:rStyle w:val="12"/>
          <w:b w:val="0"/>
          <w:i/>
        </w:rPr>
        <w:t xml:space="preserve"> </w:t>
      </w:r>
      <w:r>
        <w:t xml:space="preserve">“question that must be answered is: what is jurisdiction in law and what are its ingredients? In the case of </w:t>
      </w:r>
      <w:r>
        <w:rPr>
          <w:i/>
        </w:rPr>
        <w:t>Shitta-Bey v Attorney-General Federation</w:t>
      </w:r>
      <w:r>
        <w:t>,</w:t>
      </w:r>
      <w:r>
        <w:rPr>
          <w:rStyle w:val="7"/>
        </w:rPr>
        <w:footnoteReference w:id="136"/>
      </w:r>
      <w:r>
        <w:t xml:space="preserve">  jurisdiction was defined as follows:</w:t>
      </w:r>
    </w:p>
    <w:p w14:paraId="1C7BA835">
      <w:pPr>
        <w:pStyle w:val="11"/>
        <w:spacing w:line="480" w:lineRule="auto"/>
        <w:ind w:left="720"/>
        <w:jc w:val="both"/>
      </w:pPr>
      <w:r>
        <w:t>it is the authority a Court of law has to entertain and decide a matter brought before it by litigants. It embraces every kind of judicial action be it criminal, civil and what nots. It is the power of Court to decide a matter in controversy and it presupposes the existence of a duly constituted Court with control over the subject matter and the parties.</w:t>
      </w:r>
      <w:r>
        <w:rPr>
          <w:rStyle w:val="7"/>
        </w:rPr>
        <w:footnoteReference w:id="137"/>
      </w:r>
      <w:r>
        <w:t xml:space="preserve"> </w:t>
      </w:r>
    </w:p>
    <w:p w14:paraId="6557B229">
      <w:pPr>
        <w:pStyle w:val="11"/>
        <w:spacing w:line="480" w:lineRule="auto"/>
        <w:jc w:val="both"/>
      </w:pPr>
      <w:r>
        <w:t>The Tribunal is vested with jurisdiction over the following matters</w:t>
      </w:r>
    </w:p>
    <w:p w14:paraId="5BFB71CD">
      <w:pPr>
        <w:pStyle w:val="11"/>
        <w:spacing w:line="480" w:lineRule="auto"/>
        <w:jc w:val="both"/>
      </w:pPr>
      <w:r>
        <w:t>i. Appeals from, or review of decisions of the Commission taken in the course of the implementation of the provisions of the FCCPA; and</w:t>
      </w:r>
    </w:p>
    <w:p w14:paraId="2C08F40F">
      <w:pPr>
        <w:pStyle w:val="11"/>
        <w:spacing w:line="480" w:lineRule="auto"/>
        <w:jc w:val="both"/>
      </w:pPr>
      <w:r>
        <w:t xml:space="preserve">ii. appeals from, or review of decisions from the exercise of the powers of any sector specific regulatory authority in relation to competition and consumer protection. </w:t>
      </w:r>
    </w:p>
    <w:p w14:paraId="4D830BF3">
      <w:pPr>
        <w:pStyle w:val="11"/>
        <w:spacing w:line="480" w:lineRule="auto"/>
        <w:jc w:val="both"/>
      </w:pPr>
      <w:r>
        <w:t>With respect to the Tribunal’s jurisdiction over decisions of sector specific regulatory authorities, the jurisdiction of the Tribunal can only be invoked after the matter has been determined by the Commission. As such, the Tribunal only entertains appeals or reviews from the decisions of the Commission</w:t>
      </w:r>
    </w:p>
    <w:p w14:paraId="15F4C1E9">
      <w:pPr>
        <w:spacing w:line="480" w:lineRule="auto"/>
        <w:jc w:val="both"/>
        <w:rPr>
          <w:rFonts w:ascii="Times New Roman" w:hAnsi="Times New Roman" w:cs="Times New Roman"/>
          <w:sz w:val="24"/>
          <w:szCs w:val="24"/>
        </w:rPr>
      </w:pPr>
      <w:r>
        <w:rPr>
          <w:rFonts w:ascii="Times New Roman" w:hAnsi="Times New Roman" w:cs="Times New Roman"/>
          <w:sz w:val="24"/>
          <w:szCs w:val="24"/>
        </w:rPr>
        <w:t>The jurisdiction of the Tribunal is to adjudicate over conduct prohibited by the FCCPA, entertains appeals from and reviews any decision of the Commission.</w:t>
      </w:r>
    </w:p>
    <w:p w14:paraId="735FAF0F">
      <w:pPr>
        <w:spacing w:line="480" w:lineRule="auto"/>
        <w:jc w:val="both"/>
        <w:rPr>
          <w:rFonts w:ascii="Times New Roman" w:hAnsi="Times New Roman" w:eastAsia="Times New Roman" w:cs="Times New Roman"/>
          <w:color w:val="000000"/>
          <w:sz w:val="24"/>
          <w:szCs w:val="24"/>
        </w:rPr>
      </w:pPr>
      <w:r>
        <w:rPr>
          <w:rFonts w:ascii="Times New Roman" w:hAnsi="Times New Roman" w:cs="Times New Roman"/>
          <w:sz w:val="24"/>
          <w:szCs w:val="24"/>
        </w:rPr>
        <w:t xml:space="preserve">Generally, the jurisdiction of the Tribunal is contained in section </w:t>
      </w:r>
      <w:r>
        <w:rPr>
          <w:rFonts w:ascii="Times New Roman" w:hAnsi="Times New Roman" w:eastAsia="Times New Roman" w:cs="Times New Roman"/>
          <w:color w:val="000000"/>
          <w:sz w:val="24"/>
          <w:szCs w:val="24"/>
        </w:rPr>
        <w:t xml:space="preserve">47(1) of the Act. They are highlighted as follows:  The Tribunal shall have power to- </w:t>
      </w:r>
    </w:p>
    <w:p w14:paraId="0FAF3A55">
      <w:pPr>
        <w:pStyle w:val="17"/>
        <w:numPr>
          <w:ilvl w:val="0"/>
          <w:numId w:val="16"/>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hear appeals from or review any decision of the Commission taken in the course of the implementation of any of the provisions of this Act as may be referred to it; </w:t>
      </w:r>
    </w:p>
    <w:p w14:paraId="51EC1F5D">
      <w:pPr>
        <w:pStyle w:val="17"/>
        <w:numPr>
          <w:ilvl w:val="0"/>
          <w:numId w:val="16"/>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hear appeals from or review ,any decision from the exercise of the powers of any sector of specific regulatory authority in a regulated industry in respect of competition and consumer protection matters ; </w:t>
      </w:r>
    </w:p>
    <w:p w14:paraId="54FE49CB">
      <w:pPr>
        <w:pStyle w:val="17"/>
        <w:numPr>
          <w:ilvl w:val="0"/>
          <w:numId w:val="16"/>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issue such orders as may be required of it under this Act ; and </w:t>
      </w:r>
    </w:p>
    <w:p w14:paraId="1F3E18DF">
      <w:pPr>
        <w:pStyle w:val="17"/>
        <w:numPr>
          <w:ilvl w:val="0"/>
          <w:numId w:val="16"/>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make any ruling or such other orders as may be necessary or incidental to the performance of its functions under this Act. </w:t>
      </w:r>
    </w:p>
    <w:p w14:paraId="29B9FDDF">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Sub-section 2 provides;  notwithstanding the provisions of sub-section (l) (d), all appeals or request for review of the exercise of the power of any sector of specific authority shall first be heard and determined by the Commission before such</w:t>
      </w:r>
      <w:r>
        <w:rPr>
          <w:rFonts w:ascii="Times New Roman" w:hAnsi="Times New Roman" w:eastAsia="Times New Roman" w:cs="Times New Roman"/>
          <w:sz w:val="24"/>
          <w:szCs w:val="24"/>
        </w:rPr>
        <w:t xml:space="preserve"> </w:t>
      </w:r>
      <w:r>
        <w:rPr>
          <w:rFonts w:ascii="Times New Roman" w:hAnsi="Times New Roman" w:eastAsia="Times New Roman" w:cs="Times New Roman"/>
          <w:color w:val="000000"/>
          <w:sz w:val="24"/>
          <w:szCs w:val="24"/>
        </w:rPr>
        <w:t>appeals can lie before or be determined by the Tribunal.</w:t>
      </w:r>
    </w:p>
    <w:p w14:paraId="44AAF2B6">
      <w:pPr>
        <w:spacing w:line="480" w:lineRule="auto"/>
        <w:jc w:val="both"/>
        <w:rPr>
          <w:rFonts w:ascii="Times New Roman" w:hAnsi="Times New Roman" w:cs="Times New Roman"/>
          <w:b/>
          <w:sz w:val="24"/>
          <w:szCs w:val="24"/>
        </w:rPr>
      </w:pPr>
      <w:r>
        <w:rPr>
          <w:rFonts w:ascii="Times New Roman" w:hAnsi="Times New Roman" w:cs="Times New Roman"/>
          <w:b/>
          <w:sz w:val="24"/>
          <w:szCs w:val="24"/>
        </w:rPr>
        <w:t>4.2 Procedural Rules of the Tribunal</w:t>
      </w:r>
    </w:p>
    <w:p w14:paraId="0F106011">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 the case of </w:t>
      </w:r>
      <w:r>
        <w:rPr>
          <w:rFonts w:ascii="Times New Roman" w:hAnsi="Times New Roman" w:cs="Times New Roman"/>
          <w:i/>
          <w:sz w:val="24"/>
          <w:szCs w:val="24"/>
        </w:rPr>
        <w:t>Mufutau Bamidele Akande v Olugbemiro Jegede,</w:t>
      </w:r>
      <w:r>
        <w:rPr>
          <w:rStyle w:val="7"/>
          <w:rFonts w:ascii="Times New Roman" w:hAnsi="Times New Roman" w:cs="Times New Roman"/>
          <w:i/>
          <w:sz w:val="24"/>
          <w:szCs w:val="24"/>
        </w:rPr>
        <w:footnoteReference w:id="138"/>
      </w:r>
      <w:r>
        <w:rPr>
          <w:rFonts w:ascii="Times New Roman" w:hAnsi="Times New Roman" w:cs="Times New Roman"/>
          <w:i/>
          <w:sz w:val="24"/>
          <w:szCs w:val="24"/>
        </w:rPr>
        <w:t xml:space="preserve"> per</w:t>
      </w:r>
      <w:r>
        <w:rPr>
          <w:rFonts w:ascii="Times New Roman" w:hAnsi="Times New Roman" w:cs="Times New Roman"/>
          <w:sz w:val="24"/>
          <w:szCs w:val="24"/>
        </w:rPr>
        <w:t xml:space="preserve"> </w:t>
      </w:r>
      <w:r>
        <w:rPr>
          <w:rStyle w:val="5"/>
          <w:rFonts w:ascii="Times New Roman" w:hAnsi="Times New Roman" w:cs="Times New Roman"/>
          <w:sz w:val="24"/>
          <w:szCs w:val="24"/>
        </w:rPr>
        <w:t>Mary Ukaego Peter-Odili, JSC</w:t>
      </w:r>
      <w:r>
        <w:rPr>
          <w:rFonts w:ascii="Times New Roman" w:hAnsi="Times New Roman" w:cs="Times New Roman"/>
          <w:sz w:val="24"/>
          <w:szCs w:val="24"/>
        </w:rPr>
        <w:t xml:space="preserve">, held that: </w:t>
      </w:r>
    </w:p>
    <w:p w14:paraId="273C7726">
      <w:pPr>
        <w:spacing w:line="480" w:lineRule="auto"/>
        <w:ind w:left="720"/>
        <w:jc w:val="both"/>
        <w:rPr>
          <w:rFonts w:ascii="Times New Roman" w:hAnsi="Times New Roman" w:cs="Times New Roman"/>
          <w:i/>
          <w:color w:val="000000"/>
          <w:sz w:val="24"/>
          <w:szCs w:val="24"/>
        </w:rPr>
      </w:pPr>
      <w:r>
        <w:rPr>
          <w:rStyle w:val="5"/>
          <w:rFonts w:ascii="Times New Roman" w:hAnsi="Times New Roman" w:cs="Times New Roman"/>
          <w:i w:val="0"/>
          <w:sz w:val="24"/>
          <w:szCs w:val="24"/>
        </w:rPr>
        <w:t>it is now notorious and trite law that all rules of court should be obeyed and followed. This is because rules of court are not for fancy or fun or window dressing, since they are helpful in regulating prosecution of cases in court, such that they occupy a place akin to a roadmap for the quick convenience, fair trial and orderly disposal of cases. Rules of court are part of the support system in the administration of justice. This is particularly important, as courts have departed from adherence to technical justice. However, to achieve the purpose of obeying the Rules of Court in advancement of the course of justice, the rules of court should not be tyrannical and uncompromising masters, as the Appellant has urged. This is to avoid a slavish interpretation, defeating the essence and purpose of the rules of court and ultimately the justice system.</w:t>
      </w:r>
    </w:p>
    <w:p w14:paraId="3AE3073E">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Section 50(1) of the FCCPA provides that: the Tribunal may make rules regulating its procedures.</w:t>
      </w:r>
    </w:p>
    <w:p w14:paraId="79E63836">
      <w:pPr>
        <w:spacing w:line="480" w:lineRule="auto"/>
        <w:jc w:val="both"/>
        <w:rPr>
          <w:rFonts w:ascii="Times New Roman" w:hAnsi="Times New Roman" w:eastAsia="Times New Roman" w:cs="Times New Roman"/>
          <w:sz w:val="24"/>
          <w:szCs w:val="24"/>
        </w:rPr>
      </w:pPr>
      <w:r>
        <w:rPr>
          <w:rFonts w:ascii="Times New Roman" w:hAnsi="Times New Roman" w:cs="Times New Roman"/>
          <w:color w:val="000000"/>
          <w:sz w:val="24"/>
          <w:szCs w:val="24"/>
        </w:rPr>
        <w:t xml:space="preserve">Going by the above section of the Act, it was announced </w:t>
      </w:r>
      <w:r>
        <w:rPr>
          <w:rFonts w:ascii="Times New Roman" w:hAnsi="Times New Roman" w:cs="Times New Roman"/>
          <w:sz w:val="24"/>
          <w:szCs w:val="24"/>
        </w:rPr>
        <w:t xml:space="preserve">on </w:t>
      </w:r>
      <w:r>
        <w:rPr>
          <w:rStyle w:val="18"/>
          <w:rFonts w:ascii="Times New Roman" w:hAnsi="Times New Roman" w:cs="Times New Roman"/>
          <w:sz w:val="24"/>
          <w:szCs w:val="24"/>
        </w:rPr>
        <w:t>26th May 2023</w:t>
      </w:r>
      <w:r>
        <w:rPr>
          <w:rStyle w:val="7"/>
          <w:rFonts w:ascii="Times New Roman" w:hAnsi="Times New Roman" w:cs="Times New Roman"/>
          <w:sz w:val="24"/>
          <w:szCs w:val="24"/>
        </w:rPr>
        <w:footnoteReference w:id="139"/>
      </w:r>
      <w:r>
        <w:rPr>
          <w:rStyle w:val="18"/>
          <w:rFonts w:ascii="Times New Roman" w:hAnsi="Times New Roman" w:cs="Times New Roman"/>
          <w:sz w:val="24"/>
          <w:szCs w:val="24"/>
        </w:rPr>
        <w:t xml:space="preserve"> </w:t>
      </w:r>
      <w:r>
        <w:rPr>
          <w:rFonts w:ascii="Times New Roman" w:hAnsi="Times New Roman" w:cs="Times New Roman"/>
          <w:sz w:val="24"/>
          <w:szCs w:val="24"/>
        </w:rPr>
        <w:t>that Competition and Consumer Protection Tribunal launched its practice rules and unveiled the hearing room in which appeals on competition and consumer protection-related issues will be heard. Hajiya Saratu Mama-Shafii</w:t>
      </w:r>
      <w:r>
        <w:rPr>
          <w:rStyle w:val="7"/>
          <w:rFonts w:ascii="Times New Roman" w:hAnsi="Times New Roman" w:cs="Times New Roman"/>
          <w:sz w:val="24"/>
          <w:szCs w:val="24"/>
        </w:rPr>
        <w:footnoteReference w:id="140"/>
      </w:r>
      <w:r>
        <w:rPr>
          <w:rFonts w:ascii="Times New Roman" w:hAnsi="Times New Roman" w:cs="Times New Roman"/>
          <w:sz w:val="24"/>
          <w:szCs w:val="24"/>
        </w:rPr>
        <w:t xml:space="preserve"> said the newly launched practise rules will provide a blueprint for filing cases relating to consumer protection.</w:t>
      </w:r>
      <w:r>
        <w:rPr>
          <w:rStyle w:val="7"/>
          <w:rFonts w:ascii="Times New Roman" w:hAnsi="Times New Roman" w:cs="Times New Roman"/>
          <w:sz w:val="24"/>
          <w:szCs w:val="24"/>
        </w:rPr>
        <w:footnoteReference w:id="141"/>
      </w:r>
    </w:p>
    <w:p w14:paraId="439D88EA">
      <w:pPr>
        <w:pStyle w:val="17"/>
        <w:numPr>
          <w:ilvl w:val="1"/>
          <w:numId w:val="17"/>
        </w:numPr>
        <w:spacing w:line="480" w:lineRule="auto"/>
        <w:jc w:val="both"/>
        <w:rPr>
          <w:rStyle w:val="14"/>
          <w:rFonts w:ascii="Times New Roman" w:hAnsi="Times New Roman" w:cs="Times New Roman"/>
          <w:b/>
          <w:sz w:val="24"/>
          <w:szCs w:val="24"/>
        </w:rPr>
      </w:pPr>
      <w:r>
        <w:rPr>
          <w:rFonts w:ascii="Times New Roman" w:hAnsi="Times New Roman" w:cs="Times New Roman"/>
          <w:b/>
          <w:sz w:val="24"/>
          <w:szCs w:val="24"/>
        </w:rPr>
        <w:t>Powers of the Tribunal</w:t>
      </w:r>
    </w:p>
    <w:p w14:paraId="34BFD357">
      <w:pPr>
        <w:spacing w:line="480" w:lineRule="auto"/>
        <w:ind w:left="360"/>
        <w:jc w:val="both"/>
        <w:rPr>
          <w:rStyle w:val="14"/>
          <w:rFonts w:ascii="Times New Roman" w:hAnsi="Times New Roman" w:cs="Times New Roman"/>
          <w:sz w:val="24"/>
          <w:szCs w:val="24"/>
        </w:rPr>
      </w:pPr>
      <w:r>
        <w:rPr>
          <w:rStyle w:val="14"/>
          <w:rFonts w:ascii="Times New Roman" w:hAnsi="Times New Roman" w:cs="Times New Roman"/>
          <w:sz w:val="24"/>
          <w:szCs w:val="24"/>
        </w:rPr>
        <w:t>The Act anchored the Tribunal with requisite powers to enhance swift operation of its affairs.</w:t>
      </w:r>
    </w:p>
    <w:p w14:paraId="63B10585">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The FCCPA through the operation of its Tribunal prohibits agreements made to restrain competition such as agreements for price fixing, limiting distribution of goods, collusive tendering, agreements containing exclusionary provisions etc. but exempts collective bargaining agreements, contracts of service (containing restrictions as to the work an </w:t>
      </w:r>
      <w:r>
        <w:rPr>
          <w:rFonts w:ascii="Times New Roman" w:hAnsi="Times New Roman" w:cs="Times New Roman"/>
          <w:bCs/>
          <w:sz w:val="24"/>
          <w:szCs w:val="24"/>
        </w:rPr>
        <w:t>individual</w:t>
      </w:r>
      <w:r>
        <w:rPr>
          <w:rFonts w:ascii="Times New Roman" w:hAnsi="Times New Roman" w:cs="Times New Roman"/>
          <w:b/>
          <w:bCs/>
          <w:sz w:val="24"/>
          <w:szCs w:val="24"/>
        </w:rPr>
        <w:t xml:space="preserve"> </w:t>
      </w:r>
      <w:r>
        <w:rPr>
          <w:rFonts w:ascii="Times New Roman" w:hAnsi="Times New Roman" w:cs="Times New Roman"/>
          <w:sz w:val="24"/>
          <w:szCs w:val="24"/>
        </w:rPr>
        <w:t>can engage in upon termination of that contract), partnership agreements relating to terms of the partnership etc. It further goes ahead to make any such agreement between businesses void.</w:t>
      </w:r>
    </w:p>
    <w:p w14:paraId="0A0DFF24">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However, the Commission may authorise performance of some of the prohibited acts where they are satisfied that such an act does not eliminate competition and will contribute to the improvement of production or distribution of goods.</w:t>
      </w:r>
    </w:p>
    <w:p w14:paraId="2801FC11">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The Tribunal equally has power over fixing minimum resale prices for their goods even where such goods are patented or made through a patented process and voids any agreement containing such provisions.</w:t>
      </w:r>
    </w:p>
    <w:p w14:paraId="3FFC06E2">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Any business that enters any of the prohibited agreements shall be liable where it is a natural person to a term of imprisonment not exceeding 5 years or a fine of  Five Million Naira (₦5, 000, 000) or both, where it is a body corporate, to a fine not exceeding 10% of its turnover the previous year and every director of such company will be liable upon conviction to a term of imprisonment not exceeding 5 years or a fine exceeding Five Million Naira (₦5, 000, 000) or both.</w:t>
      </w:r>
    </w:p>
    <w:p w14:paraId="7D4BA7ED">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The can rule against companies from abusing their dominant positions by charging excessively, refusing to give competitors access to essential facilities, engaging in some exclusionary acts, etc. The Act further explains that an undertaking would be considered to be in a dominant position if it enjoys enough economic strength to allow it prevent maintenance of effective competition and can act independently without considering the effect of its actions on customers, consumers or competitors. The Act however exempts exclusive dealing arrangements or market restrictions between interconnected or affiliated undertakings.</w:t>
      </w:r>
    </w:p>
    <w:p w14:paraId="1FF437A4">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The Act sets out a standard for assessing the market dominance of an undertaking by taking account of their market share, financial power, access to supplies, their links with other undertakings, amongst other things. However, where the act of an undertaking contributes to the improvement of production or the distribution of goods, promotion of technology and does not eliminate competition, the Act does not consider it an abuse of dominant position.</w:t>
      </w:r>
    </w:p>
    <w:p w14:paraId="789A3265">
      <w:pPr>
        <w:spacing w:line="480" w:lineRule="auto"/>
        <w:ind w:left="360"/>
        <w:jc w:val="both"/>
        <w:rPr>
          <w:rStyle w:val="14"/>
          <w:rFonts w:ascii="Times New Roman" w:hAnsi="Times New Roman" w:cs="Times New Roman"/>
          <w:sz w:val="24"/>
          <w:szCs w:val="24"/>
        </w:rPr>
      </w:pPr>
      <w:r>
        <w:rPr>
          <w:rStyle w:val="14"/>
          <w:rFonts w:ascii="Times New Roman" w:hAnsi="Times New Roman" w:cs="Times New Roman"/>
          <w:sz w:val="24"/>
          <w:szCs w:val="24"/>
        </w:rPr>
        <w:t xml:space="preserve">The FCCPA also empowered the Tribunal to do the following: </w:t>
      </w:r>
    </w:p>
    <w:p w14:paraId="3D60B64D">
      <w:pPr>
        <w:pStyle w:val="17"/>
        <w:numPr>
          <w:ilvl w:val="0"/>
          <w:numId w:val="18"/>
        </w:numPr>
        <w:spacing w:line="480" w:lineRule="auto"/>
        <w:jc w:val="both"/>
        <w:rPr>
          <w:rFonts w:ascii="Times New Roman" w:hAnsi="Times New Roman" w:cs="Times New Roman"/>
          <w:sz w:val="24"/>
          <w:szCs w:val="24"/>
        </w:rPr>
      </w:pPr>
      <w:r>
        <w:rPr>
          <w:rFonts w:ascii="Times New Roman" w:hAnsi="Times New Roman" w:cs="Times New Roman"/>
          <w:color w:val="000000"/>
          <w:sz w:val="24"/>
          <w:szCs w:val="24"/>
        </w:rPr>
        <w:t>make rules regulating its procedures;</w:t>
      </w:r>
      <w:r>
        <w:rPr>
          <w:rStyle w:val="7"/>
          <w:rFonts w:ascii="Times New Roman" w:hAnsi="Times New Roman" w:cs="Times New Roman"/>
          <w:color w:val="000000"/>
          <w:sz w:val="24"/>
          <w:szCs w:val="24"/>
        </w:rPr>
        <w:footnoteReference w:id="142"/>
      </w:r>
    </w:p>
    <w:p w14:paraId="2A4C75FB">
      <w:pPr>
        <w:pStyle w:val="17"/>
        <w:numPr>
          <w:ilvl w:val="0"/>
          <w:numId w:val="18"/>
        </w:numPr>
        <w:spacing w:line="480" w:lineRule="auto"/>
        <w:jc w:val="both"/>
        <w:rPr>
          <w:rFonts w:ascii="Times New Roman" w:hAnsi="Times New Roman" w:cs="Times New Roman"/>
          <w:sz w:val="24"/>
          <w:szCs w:val="24"/>
        </w:rPr>
      </w:pPr>
      <w:r>
        <w:rPr>
          <w:rFonts w:ascii="Times New Roman" w:hAnsi="Times New Roman" w:cs="Times New Roman"/>
          <w:color w:val="000000"/>
          <w:sz w:val="24"/>
          <w:szCs w:val="24"/>
        </w:rPr>
        <w:t>make an order, ruling, award or binding decisions;</w:t>
      </w:r>
      <w:r>
        <w:rPr>
          <w:rStyle w:val="7"/>
          <w:rFonts w:ascii="Times New Roman" w:hAnsi="Times New Roman" w:cs="Times New Roman"/>
          <w:color w:val="000000"/>
          <w:sz w:val="24"/>
          <w:szCs w:val="24"/>
        </w:rPr>
        <w:footnoteReference w:id="143"/>
      </w:r>
      <w:r>
        <w:rPr>
          <w:rFonts w:ascii="Times New Roman" w:hAnsi="Times New Roman" w:cs="Times New Roman"/>
          <w:color w:val="000000"/>
          <w:sz w:val="24"/>
          <w:szCs w:val="24"/>
        </w:rPr>
        <w:t xml:space="preserve"> </w:t>
      </w:r>
    </w:p>
    <w:p w14:paraId="5FF72F41">
      <w:pPr>
        <w:pStyle w:val="17"/>
        <w:numPr>
          <w:ilvl w:val="0"/>
          <w:numId w:val="18"/>
        </w:numPr>
        <w:spacing w:line="480" w:lineRule="auto"/>
        <w:jc w:val="both"/>
        <w:rPr>
          <w:rFonts w:ascii="Times New Roman" w:hAnsi="Times New Roman" w:cs="Times New Roman"/>
          <w:sz w:val="24"/>
          <w:szCs w:val="24"/>
        </w:rPr>
      </w:pPr>
      <w:r>
        <w:rPr>
          <w:rFonts w:ascii="Times New Roman" w:hAnsi="Times New Roman" w:cs="Times New Roman"/>
          <w:color w:val="000000"/>
          <w:sz w:val="24"/>
          <w:szCs w:val="24"/>
        </w:rPr>
        <w:t>assume appellate jurisdiction;</w:t>
      </w:r>
      <w:r>
        <w:rPr>
          <w:rStyle w:val="7"/>
          <w:rFonts w:ascii="Times New Roman" w:hAnsi="Times New Roman" w:cs="Times New Roman"/>
          <w:color w:val="000000"/>
          <w:sz w:val="24"/>
          <w:szCs w:val="24"/>
        </w:rPr>
        <w:footnoteReference w:id="144"/>
      </w:r>
    </w:p>
    <w:p w14:paraId="4A195E43">
      <w:pPr>
        <w:pStyle w:val="17"/>
        <w:numPr>
          <w:ilvl w:val="0"/>
          <w:numId w:val="18"/>
        </w:numPr>
        <w:spacing w:line="480" w:lineRule="auto"/>
        <w:jc w:val="both"/>
        <w:rPr>
          <w:rFonts w:ascii="Times New Roman" w:hAnsi="Times New Roman" w:cs="Times New Roman"/>
          <w:sz w:val="24"/>
          <w:szCs w:val="24"/>
        </w:rPr>
      </w:pPr>
      <w:r>
        <w:rPr>
          <w:rFonts w:ascii="Times New Roman" w:hAnsi="Times New Roman" w:cs="Times New Roman"/>
          <w:color w:val="000000"/>
          <w:sz w:val="24"/>
          <w:szCs w:val="24"/>
        </w:rPr>
        <w:t>appoint a registrar and other staff of the tribunal;</w:t>
      </w:r>
      <w:r>
        <w:rPr>
          <w:rStyle w:val="7"/>
          <w:rFonts w:ascii="Times New Roman" w:hAnsi="Times New Roman" w:cs="Times New Roman"/>
          <w:color w:val="000000"/>
          <w:sz w:val="24"/>
          <w:szCs w:val="24"/>
        </w:rPr>
        <w:footnoteReference w:id="145"/>
      </w:r>
    </w:p>
    <w:p w14:paraId="2799A29E">
      <w:pPr>
        <w:pStyle w:val="17"/>
        <w:numPr>
          <w:ilvl w:val="0"/>
          <w:numId w:val="18"/>
        </w:numPr>
        <w:spacing w:line="480" w:lineRule="auto"/>
        <w:jc w:val="both"/>
        <w:rPr>
          <w:rStyle w:val="14"/>
          <w:rFonts w:ascii="Times New Roman" w:hAnsi="Times New Roman" w:cs="Times New Roman"/>
          <w:sz w:val="24"/>
          <w:szCs w:val="24"/>
        </w:rPr>
      </w:pPr>
      <w:r>
        <w:rPr>
          <w:rStyle w:val="14"/>
          <w:rFonts w:ascii="Times New Roman" w:hAnsi="Times New Roman" w:cs="Times New Roman"/>
          <w:sz w:val="24"/>
          <w:szCs w:val="24"/>
        </w:rPr>
        <w:t>impose penalties;</w:t>
      </w:r>
      <w:r>
        <w:rPr>
          <w:rStyle w:val="7"/>
          <w:rFonts w:ascii="Times New Roman" w:hAnsi="Times New Roman" w:cs="Times New Roman"/>
          <w:sz w:val="24"/>
          <w:szCs w:val="24"/>
        </w:rPr>
        <w:footnoteReference w:id="146"/>
      </w:r>
    </w:p>
    <w:p w14:paraId="418891F9">
      <w:pPr>
        <w:pStyle w:val="17"/>
        <w:numPr>
          <w:ilvl w:val="0"/>
          <w:numId w:val="18"/>
        </w:numPr>
        <w:spacing w:line="480" w:lineRule="auto"/>
        <w:jc w:val="both"/>
        <w:rPr>
          <w:rStyle w:val="14"/>
          <w:rFonts w:ascii="Times New Roman" w:hAnsi="Times New Roman" w:cs="Times New Roman"/>
          <w:sz w:val="24"/>
          <w:szCs w:val="24"/>
        </w:rPr>
      </w:pPr>
      <w:r>
        <w:rPr>
          <w:rStyle w:val="14"/>
          <w:rFonts w:ascii="Times New Roman" w:hAnsi="Times New Roman" w:cs="Times New Roman"/>
          <w:sz w:val="24"/>
          <w:szCs w:val="24"/>
        </w:rPr>
        <w:t>order Sale of Asset;</w:t>
      </w:r>
      <w:r>
        <w:rPr>
          <w:rStyle w:val="7"/>
          <w:rFonts w:ascii="Times New Roman" w:hAnsi="Times New Roman" w:cs="Times New Roman"/>
          <w:sz w:val="24"/>
          <w:szCs w:val="24"/>
        </w:rPr>
        <w:footnoteReference w:id="147"/>
      </w:r>
    </w:p>
    <w:p w14:paraId="573F34A5">
      <w:pPr>
        <w:pStyle w:val="17"/>
        <w:numPr>
          <w:ilvl w:val="0"/>
          <w:numId w:val="18"/>
        </w:numPr>
        <w:spacing w:line="480" w:lineRule="auto"/>
        <w:jc w:val="both"/>
        <w:rPr>
          <w:rStyle w:val="14"/>
          <w:rFonts w:ascii="Times New Roman" w:hAnsi="Times New Roman" w:cs="Times New Roman"/>
          <w:sz w:val="24"/>
          <w:szCs w:val="24"/>
        </w:rPr>
      </w:pPr>
      <w:r>
        <w:rPr>
          <w:rStyle w:val="14"/>
          <w:rFonts w:ascii="Times New Roman" w:hAnsi="Times New Roman" w:cs="Times New Roman"/>
          <w:sz w:val="24"/>
          <w:szCs w:val="24"/>
        </w:rPr>
        <w:t>prepare their annual budget; and</w:t>
      </w:r>
      <w:r>
        <w:rPr>
          <w:rStyle w:val="7"/>
          <w:rFonts w:ascii="Times New Roman" w:hAnsi="Times New Roman" w:cs="Times New Roman"/>
          <w:sz w:val="24"/>
          <w:szCs w:val="24"/>
        </w:rPr>
        <w:footnoteReference w:id="148"/>
      </w:r>
    </w:p>
    <w:p w14:paraId="7659F972">
      <w:pPr>
        <w:pStyle w:val="17"/>
        <w:numPr>
          <w:ilvl w:val="0"/>
          <w:numId w:val="18"/>
        </w:numPr>
        <w:spacing w:line="480" w:lineRule="auto"/>
        <w:jc w:val="both"/>
        <w:rPr>
          <w:rStyle w:val="14"/>
          <w:rFonts w:ascii="Times New Roman" w:hAnsi="Times New Roman" w:cs="Times New Roman"/>
          <w:sz w:val="24"/>
          <w:szCs w:val="24"/>
        </w:rPr>
      </w:pPr>
      <w:r>
        <w:rPr>
          <w:rStyle w:val="14"/>
          <w:rFonts w:ascii="Times New Roman" w:hAnsi="Times New Roman" w:cs="Times New Roman"/>
          <w:sz w:val="24"/>
          <w:szCs w:val="24"/>
        </w:rPr>
        <w:t>a member of the Tribunal according to section 49 has the power not to sit on a Panel if it appears that the decision of the Tribunal who affect his or her financial or other personal interest.</w:t>
      </w:r>
    </w:p>
    <w:p w14:paraId="5401A223">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Section 50</w:t>
      </w:r>
      <w:r>
        <w:rPr>
          <w:rFonts w:ascii="Times New Roman" w:hAnsi="Times New Roman" w:eastAsia="Times New Roman" w:cs="Times New Roman"/>
          <w:color w:val="000000"/>
          <w:sz w:val="24"/>
          <w:szCs w:val="24"/>
        </w:rPr>
        <w:t xml:space="preserve">(2) of the Act provides that: the Tribunal shall, for the purpose of discharging its duty under this Act, have power to- </w:t>
      </w:r>
    </w:p>
    <w:p w14:paraId="259D3F85">
      <w:pPr>
        <w:pStyle w:val="17"/>
        <w:numPr>
          <w:ilvl w:val="0"/>
          <w:numId w:val="19"/>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summon and enforce the attendance of any person, including the power to examine a person under oath; </w:t>
      </w:r>
    </w:p>
    <w:p w14:paraId="4872A1BF">
      <w:pPr>
        <w:pStyle w:val="17"/>
        <w:numPr>
          <w:ilvl w:val="0"/>
          <w:numId w:val="19"/>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require the discovery and production of documents; </w:t>
      </w:r>
    </w:p>
    <w:p w14:paraId="7A344556">
      <w:pPr>
        <w:pStyle w:val="17"/>
        <w:numPr>
          <w:ilvl w:val="0"/>
          <w:numId w:val="19"/>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call for and examine witnesses under oath; </w:t>
      </w:r>
    </w:p>
    <w:p w14:paraId="397FB3B4">
      <w:pPr>
        <w:pStyle w:val="17"/>
        <w:numPr>
          <w:ilvl w:val="0"/>
          <w:numId w:val="19"/>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receive evidence on affidavits; and </w:t>
      </w:r>
    </w:p>
    <w:p w14:paraId="025FD16E">
      <w:pPr>
        <w:pStyle w:val="17"/>
        <w:numPr>
          <w:ilvl w:val="0"/>
          <w:numId w:val="19"/>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do anything which, in the opinion of the Tribunal, is deemed necessary to issue a final and reasoned decision on the merit of the matter before it.</w:t>
      </w:r>
    </w:p>
    <w:p w14:paraId="3C4032C8">
      <w:pPr>
        <w:spacing w:line="480" w:lineRule="auto"/>
        <w:jc w:val="both"/>
        <w:rPr>
          <w:rFonts w:ascii="Times New Roman" w:hAnsi="Times New Roman" w:cs="Times New Roman"/>
          <w:b/>
          <w:sz w:val="24"/>
          <w:szCs w:val="24"/>
        </w:rPr>
      </w:pPr>
      <w:r>
        <w:rPr>
          <w:rFonts w:ascii="Times New Roman" w:hAnsi="Times New Roman" w:cs="Times New Roman"/>
          <w:b/>
          <w:sz w:val="24"/>
          <w:szCs w:val="24"/>
        </w:rPr>
        <w:t>4.3.1 Penalties</w:t>
      </w:r>
    </w:p>
    <w:p w14:paraId="4618AC1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Act stipulates offences and stiff penalties against competition such as; price-fixing, conspiracy, bid-rigging, obstruction of investigation or inquiry, offences against records, giving of false or misleading information, etc. </w:t>
      </w:r>
    </w:p>
    <w:p w14:paraId="73C4EDD9">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The Tribunal has power to impose fines on contravening of the provisions of the FCCPA; the Tribunal is equally empowered to exercise its discretion to impose administrative penalties where an undertaking has been involved in a prohibited practice under the Act or for the contravention of, or failure to comply with an interim order of the Tribunal. </w:t>
      </w:r>
    </w:p>
    <w:p w14:paraId="2F91F07D">
      <w:pPr>
        <w:spacing w:after="0" w:line="480" w:lineRule="auto"/>
        <w:jc w:val="both"/>
        <w:rPr>
          <w:rFonts w:ascii="Times New Roman" w:hAnsi="Times New Roman" w:eastAsia="Times New Roman" w:cs="Times New Roman"/>
          <w:sz w:val="24"/>
          <w:szCs w:val="24"/>
        </w:rPr>
      </w:pPr>
    </w:p>
    <w:p w14:paraId="7DCDB77F">
      <w:pPr>
        <w:spacing w:line="480" w:lineRule="auto"/>
        <w:jc w:val="both"/>
        <w:rPr>
          <w:rFonts w:ascii="Times New Roman" w:hAnsi="Times New Roman" w:cs="Times New Roman"/>
          <w:sz w:val="24"/>
          <w:szCs w:val="24"/>
        </w:rPr>
      </w:pPr>
      <w:r>
        <w:rPr>
          <w:rFonts w:ascii="Times New Roman" w:hAnsi="Times New Roman" w:cs="Times New Roman"/>
          <w:sz w:val="24"/>
          <w:szCs w:val="24"/>
        </w:rPr>
        <w:t>For instance, the Tribunal sitting in Abuja has fined Stanbic IBTC Bank the sum of 120 million Naira for contravening Section 130 (1) (a) of the FCCPA by failing to complete a NIBSS Instant Payment transfer request and withholding the consumer’s funds beyond the 10minute or at most, one hour reversal regulation for failed NIBSS Instant Payment electronic funds transfer.</w:t>
      </w:r>
    </w:p>
    <w:p w14:paraId="0A9EF168">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An administrative penalty imposed by the Tribunal however, must not exceed 10% of the combination of an undertaking’s annual turnover and its exports from Nigeria in the preceding financial year.</w:t>
      </w:r>
    </w:p>
    <w:p w14:paraId="78F7CC6F">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Furthermore, in determining an appropriate penalty, the Tribunal is enjoined to consider the nature, duration, gravity and extent of the contravention; loss or damage suffered due to the contravention; profit derived from the contravention; defaulter’s cooperation with the Commission, amongst others.</w:t>
      </w:r>
      <w:r>
        <w:rPr>
          <w:rStyle w:val="7"/>
          <w:rFonts w:ascii="Times New Roman" w:hAnsi="Times New Roman" w:eastAsia="Times New Roman" w:cs="Times New Roman"/>
          <w:sz w:val="24"/>
          <w:szCs w:val="24"/>
        </w:rPr>
        <w:footnoteReference w:id="149"/>
      </w:r>
    </w:p>
    <w:p w14:paraId="2407ABA1">
      <w:pPr>
        <w:spacing w:line="480" w:lineRule="auto"/>
        <w:jc w:val="both"/>
        <w:rPr>
          <w:rFonts w:ascii="Times New Roman" w:hAnsi="Times New Roman" w:cs="Times New Roman"/>
          <w:b/>
          <w:sz w:val="24"/>
          <w:szCs w:val="24"/>
        </w:rPr>
      </w:pPr>
      <w:r>
        <w:rPr>
          <w:rFonts w:ascii="Times New Roman" w:hAnsi="Times New Roman" w:cs="Times New Roman"/>
          <w:b/>
          <w:sz w:val="24"/>
          <w:szCs w:val="24"/>
        </w:rPr>
        <w:t>4.3.2 Sale of Asset</w:t>
      </w:r>
    </w:p>
    <w:p w14:paraId="3AA58C6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 enforcing issued penalties by the Tribunal, they have power </w:t>
      </w:r>
      <w:r>
        <w:rPr>
          <w:rFonts w:ascii="Times New Roman" w:hAnsi="Times New Roman" w:cs="Times New Roman"/>
          <w:i/>
          <w:sz w:val="24"/>
          <w:szCs w:val="24"/>
        </w:rPr>
        <w:t>inter alia</w:t>
      </w:r>
      <w:r>
        <w:rPr>
          <w:rFonts w:ascii="Times New Roman" w:hAnsi="Times New Roman" w:cs="Times New Roman"/>
          <w:sz w:val="24"/>
          <w:szCs w:val="24"/>
        </w:rPr>
        <w:t xml:space="preserve"> to issue order of Sale of Asset. </w:t>
      </w:r>
    </w:p>
    <w:p w14:paraId="4F7484DD">
      <w:pPr>
        <w:spacing w:line="480" w:lineRule="auto"/>
        <w:jc w:val="both"/>
        <w:rPr>
          <w:rFonts w:ascii="Times New Roman" w:hAnsi="Times New Roman" w:cs="Times New Roman"/>
          <w:sz w:val="24"/>
          <w:szCs w:val="24"/>
        </w:rPr>
      </w:pPr>
      <w:r>
        <w:rPr>
          <w:rFonts w:ascii="Times New Roman" w:hAnsi="Times New Roman" w:cs="Times New Roman"/>
          <w:sz w:val="24"/>
          <w:szCs w:val="24"/>
        </w:rPr>
        <w:t>Section 52(1) provides that; The Tribunal may make an order directing any undertaking to sell any portion or all of its shares, interest or assets if the practice prohibited the Tribunal under this Act-</w:t>
      </w:r>
    </w:p>
    <w:p w14:paraId="450DE83E">
      <w:pPr>
        <w:spacing w:line="480" w:lineRule="auto"/>
        <w:jc w:val="both"/>
        <w:rPr>
          <w:rFonts w:ascii="Times New Roman" w:hAnsi="Times New Roman" w:cs="Times New Roman"/>
          <w:sz w:val="24"/>
          <w:szCs w:val="24"/>
        </w:rPr>
      </w:pPr>
      <w:r>
        <w:rPr>
          <w:rFonts w:ascii="Times New Roman" w:hAnsi="Times New Roman" w:cs="Times New Roman"/>
          <w:sz w:val="24"/>
          <w:szCs w:val="24"/>
        </w:rPr>
        <w:t>(a) cannot adequately be remedied under any other provision of this Act : or</w:t>
      </w:r>
    </w:p>
    <w:p w14:paraId="3D69DC56">
      <w:pPr>
        <w:spacing w:line="480" w:lineRule="auto"/>
        <w:jc w:val="both"/>
        <w:rPr>
          <w:rFonts w:ascii="Times New Roman" w:hAnsi="Times New Roman" w:cs="Times New Roman"/>
          <w:sz w:val="24"/>
          <w:szCs w:val="24"/>
        </w:rPr>
      </w:pPr>
      <w:r>
        <w:rPr>
          <w:rFonts w:ascii="Times New Roman" w:hAnsi="Times New Roman" w:cs="Times New Roman"/>
          <w:sz w:val="24"/>
          <w:szCs w:val="24"/>
        </w:rPr>
        <w:t>(b) is substantially a repeat by that undertaking of conduct previously found by the Tribunal to be a prohibited practice.</w:t>
      </w:r>
    </w:p>
    <w:p w14:paraId="0895D494">
      <w:pPr>
        <w:spacing w:line="480" w:lineRule="auto"/>
        <w:jc w:val="both"/>
        <w:rPr>
          <w:rFonts w:ascii="Times New Roman" w:hAnsi="Times New Roman" w:cs="Times New Roman"/>
          <w:sz w:val="24"/>
          <w:szCs w:val="24"/>
        </w:rPr>
      </w:pPr>
      <w:r>
        <w:rPr>
          <w:rFonts w:ascii="Times New Roman" w:hAnsi="Times New Roman" w:cs="Times New Roman"/>
          <w:sz w:val="24"/>
          <w:szCs w:val="24"/>
        </w:rPr>
        <w:t>(2) An order made under subsection (1) may provide for time-frame for compliance and any other term that the Tribunal considers appropriate, having regard to the commercial interests of the parties concerned.</w:t>
      </w:r>
    </w:p>
    <w:p w14:paraId="166963CE">
      <w:pPr>
        <w:rPr>
          <w:rFonts w:ascii="Times New Roman" w:hAnsi="Times New Roman" w:cs="Times New Roman"/>
          <w:b/>
          <w:sz w:val="24"/>
          <w:szCs w:val="24"/>
        </w:rPr>
      </w:pPr>
      <w:r>
        <w:rPr>
          <w:rFonts w:ascii="Times New Roman" w:hAnsi="Times New Roman" w:cs="Times New Roman"/>
          <w:b/>
          <w:sz w:val="24"/>
          <w:szCs w:val="24"/>
        </w:rPr>
        <w:br w:type="page"/>
      </w:r>
    </w:p>
    <w:p w14:paraId="1F1C69C5">
      <w:pPr>
        <w:spacing w:line="480" w:lineRule="auto"/>
        <w:jc w:val="both"/>
        <w:rPr>
          <w:rFonts w:ascii="Times New Roman" w:hAnsi="Times New Roman" w:cs="Times New Roman"/>
          <w:b/>
          <w:sz w:val="24"/>
          <w:szCs w:val="24"/>
        </w:rPr>
      </w:pPr>
      <w:r>
        <w:rPr>
          <w:rFonts w:ascii="Times New Roman" w:hAnsi="Times New Roman" w:cs="Times New Roman"/>
          <w:b/>
          <w:sz w:val="24"/>
          <w:szCs w:val="24"/>
        </w:rPr>
        <w:t>4.4 Registration and Enforcement of the Decision of the Tribunal</w:t>
      </w:r>
    </w:p>
    <w:p w14:paraId="76A6A47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judgment, orders, ruling, award or penalties of the Tribunal are binding on the parties and are to be registered with the Federal High Court for enforcement purposes.  Notwithstanding the binding effect of the Tribunal’s decisions, there is need however, to observe statutory provision under section 54 of the FCCPA regarding its registration. Such registration is solely for enforcement purposes.  </w:t>
      </w:r>
    </w:p>
    <w:p w14:paraId="6ECE23FC">
      <w:pPr>
        <w:spacing w:line="480" w:lineRule="auto"/>
        <w:jc w:val="both"/>
        <w:rPr>
          <w:rFonts w:ascii="Times New Roman" w:hAnsi="Times New Roman" w:eastAsia="Times New Roman" w:cs="Times New Roman"/>
          <w:sz w:val="24"/>
          <w:szCs w:val="24"/>
        </w:rPr>
      </w:pPr>
      <w:r>
        <w:rPr>
          <w:rFonts w:ascii="Times New Roman" w:hAnsi="Times New Roman" w:cs="Times New Roman"/>
          <w:sz w:val="24"/>
          <w:szCs w:val="24"/>
        </w:rPr>
        <w:t xml:space="preserve">The Act expressly provides the foregoing in section 54 as follows; </w:t>
      </w:r>
      <w:r>
        <w:rPr>
          <w:rFonts w:ascii="Times New Roman" w:hAnsi="Times New Roman" w:eastAsia="Times New Roman" w:cs="Times New Roman"/>
          <w:color w:val="000000"/>
          <w:sz w:val="24"/>
          <w:szCs w:val="24"/>
        </w:rPr>
        <w:t xml:space="preserve">an order, ruling, award or judgment of the Tribunal shall be- </w:t>
      </w:r>
    </w:p>
    <w:p w14:paraId="73B10DEB">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(a) binding on the parties before the Tribunal ; and </w:t>
      </w:r>
    </w:p>
    <w:p w14:paraId="26812666">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(b) registered with the Federal High Court for the purpose of enforcement only.</w:t>
      </w:r>
    </w:p>
    <w:p w14:paraId="34AB9D82">
      <w:pPr>
        <w:spacing w:after="0" w:line="480" w:lineRule="auto"/>
        <w:jc w:val="both"/>
        <w:rPr>
          <w:rFonts w:ascii="Times New Roman" w:hAnsi="Times New Roman" w:eastAsia="Times New Roman" w:cs="Times New Roman"/>
          <w:sz w:val="24"/>
          <w:szCs w:val="24"/>
        </w:rPr>
      </w:pPr>
      <w:r>
        <w:rPr>
          <w:rFonts w:ascii="Times New Roman" w:hAnsi="Times New Roman" w:cs="Times New Roman"/>
          <w:b/>
          <w:sz w:val="24"/>
          <w:szCs w:val="24"/>
        </w:rPr>
        <w:t>4.5 Judicial Review of the Decision of the Tribunal</w:t>
      </w:r>
    </w:p>
    <w:p w14:paraId="1C7A7F8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An unsatisfied party to a decision issued before the Tribunal may appeal its decision within 30 days of delivery of the ruling, award or judgment to the Court of Appeal. The FCCPA is although silent on the time limit within which an appeal may lie from the Commission to the Tribunal. Also, the time limit within which the decision of the Tribunal may be appealed to the Court of Appeal is much shorter than the time within which an appeal may lie from the State or Federal High Court to the</w:t>
      </w:r>
      <w:r>
        <w:rPr>
          <w:rStyle w:val="7"/>
          <w:rFonts w:ascii="Times New Roman" w:hAnsi="Times New Roman" w:cs="Times New Roman"/>
          <w:sz w:val="24"/>
          <w:szCs w:val="24"/>
        </w:rPr>
        <w:footnoteReference w:id="150"/>
      </w:r>
      <w:r>
        <w:rPr>
          <w:rFonts w:ascii="Times New Roman" w:hAnsi="Times New Roman" w:cs="Times New Roman"/>
          <w:sz w:val="24"/>
          <w:szCs w:val="24"/>
        </w:rPr>
        <w:t xml:space="preserve">  Court of Appeal. While an appeal to the Court of Appeal in a civil cause or matter shall be filed at the Court of Appeal within three months of the final decision, a decision of the Tribunal as provided in the FCCPA shall be filed within 30 days of the Tribunal’s decision.</w:t>
      </w:r>
    </w:p>
    <w:p w14:paraId="59A7B254">
      <w:pPr>
        <w:spacing w:line="480" w:lineRule="auto"/>
        <w:jc w:val="both"/>
        <w:rPr>
          <w:rFonts w:ascii="Times New Roman" w:hAnsi="Times New Roman" w:cs="Times New Roman"/>
          <w:sz w:val="24"/>
          <w:szCs w:val="24"/>
        </w:rPr>
      </w:pPr>
      <w:r>
        <w:rPr>
          <w:rFonts w:ascii="Times New Roman" w:hAnsi="Times New Roman" w:cs="Times New Roman"/>
          <w:sz w:val="24"/>
          <w:szCs w:val="24"/>
        </w:rPr>
        <w:t>Section 55 of the Act provides-</w:t>
      </w:r>
    </w:p>
    <w:p w14:paraId="2B16068D">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(l) Any party to a proceeding who is not satisfied with a ruling, award or judgment of the Tribunal may appeal to the Court of Appeal upon giving notice in writing to the Registrar to the Tribunal within 30 days after the date on which the ruling, award or judgment was given. </w:t>
      </w:r>
    </w:p>
    <w:p w14:paraId="42CCB6ED">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(2) A notice of appeal filed pursuant to subsection (l) shall set out all the grounds on which the review is sought. </w:t>
      </w:r>
    </w:p>
    <w:p w14:paraId="335D7A84">
      <w:p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(3) Upon the receipt of a notice of appeal under subsections (l) and (2), the Registrar to the Tribunal shall cause the notice to be given to the Chief Registrar of the Court of Appeal along with the record of proceedings and exhibits tendered at the hearing before the Tribunal.</w:t>
      </w:r>
      <w:r>
        <w:rPr>
          <w:rStyle w:val="7"/>
          <w:rFonts w:ascii="Times New Roman" w:hAnsi="Times New Roman" w:eastAsia="Times New Roman" w:cs="Times New Roman"/>
          <w:color w:val="000000"/>
          <w:sz w:val="24"/>
          <w:szCs w:val="24"/>
        </w:rPr>
        <w:footnoteReference w:id="151"/>
      </w:r>
    </w:p>
    <w:p w14:paraId="271141FB">
      <w:pPr>
        <w:spacing w:line="480" w:lineRule="auto"/>
        <w:jc w:val="both"/>
        <w:rPr>
          <w:rFonts w:ascii="Times New Roman" w:hAnsi="Times New Roman" w:cs="Times New Roman"/>
          <w:b/>
          <w:sz w:val="24"/>
          <w:szCs w:val="24"/>
        </w:rPr>
      </w:pPr>
      <w:r>
        <w:rPr>
          <w:rFonts w:ascii="Times New Roman" w:hAnsi="Times New Roman" w:cs="Times New Roman"/>
          <w:b/>
          <w:sz w:val="24"/>
          <w:szCs w:val="24"/>
        </w:rPr>
        <w:t>4.6 Funding of the Tribunal</w:t>
      </w:r>
    </w:p>
    <w:p w14:paraId="0F75140C">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Just like most government established institutions, the Tribunal has their annual budget which is funded by the federal government annually. Section 58 of the Act provides the following in regards to the funding of the Tribunal- </w:t>
      </w:r>
    </w:p>
    <w:p w14:paraId="3A55C616">
      <w:p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 </w:t>
      </w:r>
    </w:p>
    <w:p w14:paraId="707868C9">
      <w:pPr>
        <w:pStyle w:val="17"/>
        <w:numPr>
          <w:ilvl w:val="0"/>
          <w:numId w:val="20"/>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The Tribunal shall establish and maintain a fund, which shall be applied towards the performance of its functions under this Act. </w:t>
      </w:r>
    </w:p>
    <w:p w14:paraId="5829EBF0">
      <w:pPr>
        <w:pStyle w:val="17"/>
        <w:numPr>
          <w:ilvl w:val="0"/>
          <w:numId w:val="20"/>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There shall be paid and credited into to the Fund established under subsection ( I)</w:t>
      </w:r>
    </w:p>
    <w:p w14:paraId="47AA39E5">
      <w:pPr>
        <w:pStyle w:val="17"/>
        <w:numPr>
          <w:ilvl w:val="1"/>
          <w:numId w:val="20"/>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annual subventions and budgetary allocations from the Federal Government with respect to recurrent and capital expenditures ; and </w:t>
      </w:r>
    </w:p>
    <w:p w14:paraId="646A10A4">
      <w:pPr>
        <w:pStyle w:val="17"/>
        <w:numPr>
          <w:ilvl w:val="1"/>
          <w:numId w:val="20"/>
        </w:numPr>
        <w:spacing w:after="0"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fees collected for services rendered by the Tribunal under this Act, and such other sums of money as may be provided by the Federal Government for the Tribunal.</w:t>
      </w:r>
    </w:p>
    <w:p w14:paraId="72233838">
      <w:pPr>
        <w:pStyle w:val="17"/>
        <w:numPr>
          <w:ilvl w:val="0"/>
          <w:numId w:val="20"/>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The Tribunal shall, at the end of each financial year, submit its budget for the following year to the Minister. </w:t>
      </w:r>
    </w:p>
    <w:p w14:paraId="64601815">
      <w:pPr>
        <w:pStyle w:val="17"/>
        <w:numPr>
          <w:ilvl w:val="0"/>
          <w:numId w:val="20"/>
        </w:numPr>
        <w:spacing w:after="0" w:line="48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The Minister shall ensure that adequate budgetary provision is made for the payment of emoluments and allowances of members and staff of the Tribunal including all other expenditures of the Tribunal for the efficient discharge of the duties and responsibilities of the Tribunal under this Act.</w:t>
      </w:r>
    </w:p>
    <w:p w14:paraId="3ED4617F">
      <w:pPr>
        <w:spacing w:after="0" w:line="480" w:lineRule="auto"/>
        <w:jc w:val="both"/>
        <w:rPr>
          <w:rFonts w:ascii="Times New Roman" w:hAnsi="Times New Roman" w:eastAsia="Times New Roman" w:cs="Times New Roman"/>
          <w:sz w:val="24"/>
          <w:szCs w:val="24"/>
        </w:rPr>
      </w:pPr>
    </w:p>
    <w:p w14:paraId="01B071C2">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Tribunal has budget unit, budget research &amp; statistics department, financial and account unit, revenue unit, payment unit, audit unit etc which helps in proper drafting of their annual budget and allocation of funds among various departments of the institution. </w:t>
      </w:r>
    </w:p>
    <w:p w14:paraId="52E9A0FA">
      <w:pPr>
        <w:spacing w:line="480" w:lineRule="auto"/>
        <w:jc w:val="both"/>
        <w:rPr>
          <w:rFonts w:ascii="Times New Roman" w:hAnsi="Times New Roman" w:cs="Times New Roman"/>
          <w:b/>
          <w:sz w:val="24"/>
          <w:szCs w:val="24"/>
        </w:rPr>
      </w:pPr>
      <w:r>
        <w:rPr>
          <w:rFonts w:ascii="Times New Roman" w:hAnsi="Times New Roman" w:cs="Times New Roman"/>
          <w:b/>
          <w:sz w:val="24"/>
          <w:szCs w:val="24"/>
        </w:rPr>
        <w:t>4.6.1 Payment of Allowances</w:t>
      </w:r>
    </w:p>
    <w:p w14:paraId="19E7B151">
      <w:pPr>
        <w:spacing w:line="48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 The Chairman and other members of the Tribunal shall be paid such allowances, emoluments and benefits as the Federal Government may approve.</w:t>
      </w:r>
      <w:r>
        <w:rPr>
          <w:rStyle w:val="7"/>
          <w:rFonts w:ascii="Times New Roman" w:hAnsi="Times New Roman" w:eastAsia="Times New Roman" w:cs="Times New Roman"/>
          <w:color w:val="000000"/>
          <w:sz w:val="24"/>
          <w:szCs w:val="24"/>
        </w:rPr>
        <w:footnoteReference w:id="152"/>
      </w:r>
    </w:p>
    <w:p w14:paraId="25609B8A">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4.6.1 Conditions of Employment </w:t>
      </w:r>
    </w:p>
    <w:p w14:paraId="74DB2F7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Even though the conditions of employment of the members of the Tribunal are not expressly stated in the Act, each employee or appointee of the Tribunal must abide by the provisions of the FCCPA as regards their rights, obligations, rules and regulation guiding the Tribunal. On the other hand, the Federal Government through its minister should always look into and approve appropriate budgets presented by the Tribunal as it will afford smooth running of the institution. The salaries and other remunerations of the members and employees should be paid when due. </w:t>
      </w:r>
    </w:p>
    <w:p w14:paraId="32AA2B08">
      <w:pPr>
        <w:spacing w:line="480" w:lineRule="auto"/>
        <w:ind w:left="480" w:hanging="480" w:hangingChars="200"/>
        <w:jc w:val="both"/>
        <w:rPr>
          <w:rFonts w:ascii="Times New Roman" w:hAnsi="Times New Roman" w:cs="Times New Roman"/>
          <w:sz w:val="24"/>
          <w:szCs w:val="24"/>
        </w:rPr>
      </w:pPr>
      <w:r>
        <w:rPr>
          <w:rFonts w:ascii="Times New Roman" w:hAnsi="Times New Roman" w:cs="Times New Roman"/>
          <w:sz w:val="24"/>
          <w:szCs w:val="24"/>
        </w:rPr>
        <w:t xml:space="preserve">4.7 </w:t>
      </w:r>
      <w:r>
        <w:rPr>
          <w:rFonts w:ascii="Times New Roman" w:hAnsi="Times New Roman" w:cs="Times New Roman"/>
          <w:b/>
          <w:sz w:val="24"/>
          <w:szCs w:val="24"/>
        </w:rPr>
        <w:t>Relationship between Federal Competitive and Consumer Protection Commission (FCCPC) and the Tribunal</w:t>
      </w:r>
    </w:p>
    <w:p w14:paraId="29790E3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Act encapsulated the Commission to be independent in carrying out its functions, powers, duties and responsibilities conferred upon it. </w:t>
      </w:r>
    </w:p>
    <w:p w14:paraId="7A59A2DF">
      <w:pPr>
        <w:spacing w:line="480" w:lineRule="auto"/>
        <w:jc w:val="both"/>
        <w:rPr>
          <w:rFonts w:ascii="Times New Roman" w:hAnsi="Times New Roman" w:cs="Times New Roman"/>
          <w:sz w:val="24"/>
          <w:szCs w:val="24"/>
        </w:rPr>
      </w:pPr>
      <w:r>
        <w:rPr>
          <w:rFonts w:ascii="Times New Roman" w:hAnsi="Times New Roman" w:cs="Times New Roman"/>
          <w:sz w:val="24"/>
          <w:szCs w:val="24"/>
        </w:rPr>
        <w:t>The Commission together with other Consumer related institutions were responsible to adjudicating on consumer related matters Nigeria before the advent of the Tribunal in 2018. FCCPA in section 39 provides for the Tribunal. The Tribunal is established as a court (according to the wording of FCCPA) as independent institution with perpetual succession that will adjudicate over conducts prohibited under the Act and exercise the jurisdiction, powers and authority conferred on it by the Act.</w:t>
      </w:r>
    </w:p>
    <w:p w14:paraId="73951411">
      <w:pPr>
        <w:spacing w:line="480" w:lineRule="auto"/>
        <w:jc w:val="both"/>
        <w:rPr>
          <w:rFonts w:ascii="Times New Roman" w:hAnsi="Times New Roman" w:cs="Times New Roman"/>
          <w:sz w:val="24"/>
          <w:szCs w:val="24"/>
        </w:rPr>
      </w:pPr>
      <w:r>
        <w:rPr>
          <w:rFonts w:ascii="Times New Roman" w:hAnsi="Times New Roman" w:cs="Times New Roman"/>
          <w:sz w:val="24"/>
          <w:szCs w:val="24"/>
        </w:rPr>
        <w:t>Section 47 of the Act provides that the Tribunal shall have power to hear appeals from or review any decision of the Commission taken in the course of the implementation of any of the provisions of this Act as may be referred to it. Also, the Tribunal assumes appellate jurisdiction over decisions of the Commission.</w:t>
      </w:r>
    </w:p>
    <w:p w14:paraId="2C57E4B3">
      <w:pPr>
        <w:spacing w:line="480" w:lineRule="auto"/>
        <w:jc w:val="both"/>
        <w:rPr>
          <w:rFonts w:ascii="Times New Roman" w:hAnsi="Times New Roman" w:cs="Times New Roman"/>
          <w:sz w:val="24"/>
          <w:szCs w:val="24"/>
        </w:rPr>
      </w:pPr>
      <w:r>
        <w:rPr>
          <w:rFonts w:ascii="Times New Roman" w:hAnsi="Times New Roman" w:cs="Times New Roman"/>
          <w:sz w:val="24"/>
          <w:szCs w:val="24"/>
        </w:rPr>
        <w:t>For the Tribunal to have jurisdiction to review or hear appeal from any regulatory authority, such matter must first be determined by the Federal Competition and Consumer Protection Commission.</w:t>
      </w:r>
      <w:r>
        <w:rPr>
          <w:rStyle w:val="7"/>
          <w:rFonts w:ascii="Times New Roman" w:hAnsi="Times New Roman" w:cs="Times New Roman"/>
          <w:sz w:val="24"/>
          <w:szCs w:val="24"/>
        </w:rPr>
        <w:footnoteReference w:id="153"/>
      </w:r>
    </w:p>
    <w:p w14:paraId="423111ED">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provision in section 47(2) was the ground of dissenting judgment by a Presiding Member Mr Chu’ma Mbonu who supported the Defendant’s preliminary objection claiming that the Tribunal had only appellate jurisdiction and cannot hear an originating application in the form of the suit before it in the case between </w:t>
      </w:r>
      <w:r>
        <w:rPr>
          <w:rFonts w:ascii="Times New Roman" w:hAnsi="Times New Roman" w:cs="Times New Roman"/>
          <w:i/>
          <w:sz w:val="24"/>
          <w:szCs w:val="24"/>
        </w:rPr>
        <w:t xml:space="preserve">Clement Osuya </w:t>
      </w:r>
      <w:r>
        <w:rPr>
          <w:rFonts w:ascii="Times New Roman" w:hAnsi="Times New Roman" w:cs="Times New Roman"/>
          <w:sz w:val="24"/>
          <w:szCs w:val="24"/>
        </w:rPr>
        <w:t>and</w:t>
      </w:r>
      <w:r>
        <w:rPr>
          <w:rFonts w:ascii="Times New Roman" w:hAnsi="Times New Roman" w:cs="Times New Roman"/>
          <w:i/>
          <w:sz w:val="24"/>
          <w:szCs w:val="24"/>
        </w:rPr>
        <w:t xml:space="preserve"> Stanbic IBTC. </w:t>
      </w:r>
      <w:r>
        <w:rPr>
          <w:rFonts w:ascii="Times New Roman" w:hAnsi="Times New Roman" w:cs="Times New Roman"/>
          <w:sz w:val="24"/>
          <w:szCs w:val="24"/>
        </w:rPr>
        <w:t>That is to say, without the decisions of the commission, there will not be judgment of the Tribunal.</w:t>
      </w:r>
      <w:r>
        <w:rPr>
          <w:rStyle w:val="7"/>
          <w:rFonts w:ascii="Times New Roman" w:hAnsi="Times New Roman" w:cs="Times New Roman"/>
          <w:sz w:val="24"/>
          <w:szCs w:val="24"/>
        </w:rPr>
        <w:footnoteReference w:id="154"/>
      </w:r>
    </w:p>
    <w:p w14:paraId="7008EFC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Tribunal received its first case challenging among other things the alleged anti-competitive practice between Multi-Choice and a claimant in Nigeria. The effect of section 47(1) and (2) were demonstrated in this case. </w:t>
      </w:r>
    </w:p>
    <w:p w14:paraId="36742631">
      <w:pPr>
        <w:spacing w:line="480" w:lineRule="auto"/>
        <w:jc w:val="both"/>
        <w:rPr>
          <w:rFonts w:ascii="Times New Roman" w:hAnsi="Times New Roman" w:cs="Times New Roman"/>
          <w:sz w:val="24"/>
          <w:szCs w:val="24"/>
        </w:rPr>
      </w:pPr>
      <w:r>
        <w:rPr>
          <w:rFonts w:ascii="Times New Roman" w:hAnsi="Times New Roman" w:cs="Times New Roman"/>
          <w:sz w:val="24"/>
          <w:szCs w:val="24"/>
        </w:rPr>
        <w:t>On September, 2022, the Tribunal delivered judgment in this case wherein it acquitted Multi-Choice of any liability whatsoever for the alleged anti-competitive Act. The origin of this case can be traced to a complaint dated 19 May 2020 and titled ‘Powers of the Commission to Regulate Price; Abuse of Power of Dominance in Market and Impending Price Hike by Multi-Choice/DSTV in Nigeria’ made by the claimant against Multi-Choice before the Commission. In this complaint, the claimant alleged among other things that Multi-Choice’s ‘incessant price increment is repressive, unjustified, unfair and uncalled for’.</w:t>
      </w:r>
    </w:p>
    <w:p w14:paraId="35FBE597">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Unfortunately, according to the claimant, the Commission failed to resolve this complaint in the period leading to the commencement of the case at the Tribunal. In March 2022, Multi-Choice announced another increase in the price for its pay-TV services. According to the claimant, the failure of the Commission to resolve the complaint can ground the invocation of the Tribunal’s power as provided for in section 47 of the FCCPA. After dispensing with several procedural questions, the Tribunal was invited by the claimant to determine the substantive issues, among which was the question of whether Multi-Choice’s history of price increases constitutes an abuse of a dominant position within the meaning of sections 70 and 72 of the FCCPA. Section 70, particularly subsections 1 and 2 describes the circumstances in which an undertaking is dominant or has market power in a particular market. Section 72(1) prohibits the abuse of a dominant position by an undertaking while section 72 (2) provides a list of practices that are deemed to be abusive if engaged by a dominant undertaking (or a group of dominant undertakings). Of note here is charging an excessive price to the detriment of consumers provided in section 72 (2) (a), which was the basis of the claimant’s case that Multi-Choice price increases constitute an abuse of a dominant position. In arguing his case, the claimant among other things contended that Multi-Choice “does not only occupy a dominant position but has consistently abused their dominant position … on countless occasions unilaterally and independently without recourse to the consumer, customer or even the regulator (sic) increased the prices of its products and services.”</w:t>
      </w:r>
    </w:p>
    <w:p w14:paraId="105DF7BD">
      <w:pPr>
        <w:spacing w:line="480" w:lineRule="auto"/>
        <w:jc w:val="both"/>
        <w:rPr>
          <w:rFonts w:ascii="Times New Roman" w:hAnsi="Times New Roman" w:cs="Times New Roman"/>
          <w:sz w:val="24"/>
          <w:szCs w:val="24"/>
        </w:rPr>
      </w:pPr>
      <w:r>
        <w:rPr>
          <w:rFonts w:ascii="Times New Roman" w:hAnsi="Times New Roman" w:cs="Times New Roman"/>
          <w:sz w:val="24"/>
          <w:szCs w:val="24"/>
        </w:rPr>
        <w:t>The Tribunal in determining this question stated that “there is indeed no doubt that [Multi-Choice] occupies a dominant position”, and further that “there is no proof that [Multi-Choice] (though occupies a dominant position) abused her position of dominance”.</w:t>
      </w:r>
    </w:p>
    <w:p w14:paraId="3F6B04C9">
      <w:pPr>
        <w:spacing w:line="480" w:lineRule="auto"/>
        <w:jc w:val="both"/>
        <w:rPr>
          <w:rFonts w:ascii="Times New Roman" w:hAnsi="Times New Roman" w:cs="Times New Roman"/>
          <w:b/>
          <w:sz w:val="24"/>
          <w:szCs w:val="24"/>
        </w:rPr>
      </w:pPr>
      <w:r>
        <w:rPr>
          <w:rFonts w:ascii="Times New Roman" w:hAnsi="Times New Roman" w:cs="Times New Roman"/>
          <w:b/>
          <w:sz w:val="24"/>
          <w:szCs w:val="24"/>
        </w:rPr>
        <w:t>4.8 The Impact of the Establishment of the Tribunal on Nigeria Consumers</w:t>
      </w:r>
    </w:p>
    <w:p w14:paraId="7D27C653">
      <w:pPr>
        <w:spacing w:line="480" w:lineRule="auto"/>
        <w:jc w:val="both"/>
        <w:rPr>
          <w:rFonts w:ascii="Times New Roman" w:hAnsi="Times New Roman" w:cs="Times New Roman"/>
          <w:b/>
          <w:sz w:val="24"/>
          <w:szCs w:val="24"/>
        </w:rPr>
      </w:pPr>
      <w:r>
        <w:rPr>
          <w:rFonts w:ascii="Times New Roman" w:hAnsi="Times New Roman" w:cs="Times New Roman"/>
          <w:sz w:val="24"/>
          <w:szCs w:val="24"/>
        </w:rPr>
        <w:t>The Tribunal conducts reviews over activities which are prohibited by the Act. Such provisions among others include violation of consumer rights and anti-competition practices.</w:t>
      </w:r>
      <w:r>
        <w:rPr>
          <w:rFonts w:ascii="Times New Roman" w:hAnsi="Times New Roman" w:cs="Times New Roman"/>
          <w:b/>
          <w:sz w:val="24"/>
          <w:szCs w:val="24"/>
        </w:rPr>
        <w:t xml:space="preserve"> </w:t>
      </w:r>
    </w:p>
    <w:p w14:paraId="3A0A66B5">
      <w:pPr>
        <w:spacing w:line="480" w:lineRule="auto"/>
        <w:jc w:val="both"/>
        <w:rPr>
          <w:rFonts w:ascii="Times New Roman" w:hAnsi="Times New Roman" w:cs="Times New Roman"/>
          <w:b/>
          <w:sz w:val="24"/>
          <w:szCs w:val="24"/>
        </w:rPr>
      </w:pPr>
      <w:r>
        <w:rPr>
          <w:rFonts w:ascii="Times New Roman" w:hAnsi="Times New Roman" w:cs="Times New Roman"/>
          <w:sz w:val="24"/>
          <w:szCs w:val="24"/>
        </w:rPr>
        <w:t>In summary, the following are the impacts of the Tribunal on the Nigeria consumers:</w:t>
      </w:r>
    </w:p>
    <w:p w14:paraId="5E54FE9B">
      <w:pPr>
        <w:pStyle w:val="17"/>
        <w:numPr>
          <w:ilvl w:val="0"/>
          <w:numId w:val="21"/>
        </w:numPr>
        <w:spacing w:line="480" w:lineRule="auto"/>
        <w:jc w:val="both"/>
        <w:rPr>
          <w:rFonts w:ascii="Times New Roman" w:hAnsi="Times New Roman" w:cs="Times New Roman"/>
          <w:b/>
          <w:sz w:val="24"/>
          <w:szCs w:val="24"/>
        </w:rPr>
      </w:pPr>
      <w:r>
        <w:rPr>
          <w:rFonts w:ascii="Times New Roman" w:hAnsi="Times New Roman" w:cs="Times New Roman"/>
          <w:sz w:val="24"/>
          <w:szCs w:val="24"/>
        </w:rPr>
        <w:t>The Tribunal is an adjudicatory body established under the FCCPA with jurisdiction throughout the country and transactions outside the country which has effect in Nigeria.</w:t>
      </w:r>
    </w:p>
    <w:p w14:paraId="3CF5DF18">
      <w:pPr>
        <w:pStyle w:val="17"/>
        <w:numPr>
          <w:ilvl w:val="0"/>
          <w:numId w:val="21"/>
        </w:numPr>
        <w:spacing w:line="480" w:lineRule="auto"/>
        <w:jc w:val="both"/>
        <w:rPr>
          <w:rFonts w:ascii="Times New Roman" w:hAnsi="Times New Roman" w:cs="Times New Roman"/>
          <w:b/>
          <w:sz w:val="24"/>
          <w:szCs w:val="24"/>
        </w:rPr>
      </w:pPr>
      <w:r>
        <w:rPr>
          <w:rFonts w:ascii="Times New Roman" w:hAnsi="Times New Roman" w:cs="Times New Roman"/>
          <w:sz w:val="24"/>
          <w:szCs w:val="24"/>
        </w:rPr>
        <w:t xml:space="preserve">The Tribunal is a court where an unsatisfied consumer, manufacturer or a service provider can bring complaints against the Commission’s decisions. </w:t>
      </w:r>
    </w:p>
    <w:p w14:paraId="20C6E3B7">
      <w:pPr>
        <w:pStyle w:val="17"/>
        <w:numPr>
          <w:ilvl w:val="0"/>
          <w:numId w:val="21"/>
        </w:numPr>
        <w:spacing w:line="480" w:lineRule="auto"/>
        <w:jc w:val="both"/>
        <w:rPr>
          <w:rFonts w:ascii="Times New Roman" w:hAnsi="Times New Roman" w:cs="Times New Roman"/>
          <w:b/>
          <w:sz w:val="24"/>
          <w:szCs w:val="24"/>
        </w:rPr>
      </w:pPr>
      <w:r>
        <w:rPr>
          <w:rFonts w:ascii="Times New Roman" w:hAnsi="Times New Roman" w:cs="Times New Roman"/>
          <w:sz w:val="24"/>
          <w:szCs w:val="24"/>
        </w:rPr>
        <w:t>The Tribunal provides a legal instrument for enforcing consumer rights in Nigeria.</w:t>
      </w:r>
    </w:p>
    <w:p w14:paraId="44F35F98">
      <w:pPr>
        <w:pStyle w:val="17"/>
        <w:numPr>
          <w:ilvl w:val="0"/>
          <w:numId w:val="21"/>
        </w:numPr>
        <w:spacing w:line="480" w:lineRule="auto"/>
        <w:jc w:val="both"/>
        <w:rPr>
          <w:rFonts w:ascii="Times New Roman" w:hAnsi="Times New Roman" w:cs="Times New Roman"/>
          <w:b/>
          <w:sz w:val="24"/>
          <w:szCs w:val="24"/>
        </w:rPr>
      </w:pPr>
      <w:r>
        <w:rPr>
          <w:rFonts w:ascii="Times New Roman" w:hAnsi="Times New Roman" w:cs="Times New Roman"/>
          <w:sz w:val="24"/>
          <w:szCs w:val="24"/>
        </w:rPr>
        <w:t>The Tribunal can adjudicate on a matter and give binding decisions.</w:t>
      </w:r>
    </w:p>
    <w:p w14:paraId="5E079F72">
      <w:pPr>
        <w:pStyle w:val="17"/>
        <w:numPr>
          <w:ilvl w:val="0"/>
          <w:numId w:val="21"/>
        </w:numPr>
        <w:spacing w:line="480" w:lineRule="auto"/>
        <w:jc w:val="both"/>
        <w:rPr>
          <w:rFonts w:ascii="Times New Roman" w:hAnsi="Times New Roman" w:cs="Times New Roman"/>
          <w:b/>
          <w:sz w:val="24"/>
          <w:szCs w:val="24"/>
        </w:rPr>
      </w:pPr>
      <w:r>
        <w:rPr>
          <w:rFonts w:ascii="Times New Roman" w:hAnsi="Times New Roman" w:cs="Times New Roman"/>
          <w:sz w:val="24"/>
          <w:szCs w:val="24"/>
        </w:rPr>
        <w:t xml:space="preserve">The Tribunal functions as appellate body over a decision given by the Commission. </w:t>
      </w:r>
    </w:p>
    <w:p w14:paraId="4F71F6D3">
      <w:pPr>
        <w:pStyle w:val="17"/>
        <w:numPr>
          <w:ilvl w:val="0"/>
          <w:numId w:val="21"/>
        </w:numPr>
        <w:spacing w:line="480" w:lineRule="auto"/>
        <w:jc w:val="both"/>
        <w:rPr>
          <w:rFonts w:ascii="Times New Roman" w:hAnsi="Times New Roman" w:cs="Times New Roman"/>
          <w:b/>
          <w:sz w:val="24"/>
          <w:szCs w:val="24"/>
        </w:rPr>
      </w:pPr>
      <w:r>
        <w:rPr>
          <w:rFonts w:ascii="Times New Roman" w:hAnsi="Times New Roman" w:cs="Times New Roman"/>
          <w:sz w:val="24"/>
          <w:szCs w:val="24"/>
        </w:rPr>
        <w:t>The Tribunal has power to award penalties.</w:t>
      </w:r>
    </w:p>
    <w:p w14:paraId="7B76476E">
      <w:pPr>
        <w:pStyle w:val="17"/>
        <w:numPr>
          <w:ilvl w:val="0"/>
          <w:numId w:val="21"/>
        </w:numPr>
        <w:spacing w:line="480" w:lineRule="auto"/>
        <w:jc w:val="both"/>
        <w:rPr>
          <w:rFonts w:ascii="Times New Roman" w:hAnsi="Times New Roman" w:cs="Times New Roman"/>
          <w:b/>
          <w:sz w:val="24"/>
          <w:szCs w:val="24"/>
        </w:rPr>
      </w:pPr>
      <w:r>
        <w:rPr>
          <w:rFonts w:ascii="Times New Roman" w:hAnsi="Times New Roman" w:cs="Times New Roman"/>
          <w:sz w:val="24"/>
          <w:szCs w:val="24"/>
        </w:rPr>
        <w:t>When a party cannot comply with an award of compensation, the Tribunal has power to declare Sale of Asset.</w:t>
      </w:r>
    </w:p>
    <w:p w14:paraId="21FEB843">
      <w:pPr>
        <w:pStyle w:val="17"/>
        <w:numPr>
          <w:ilvl w:val="0"/>
          <w:numId w:val="21"/>
        </w:numPr>
        <w:spacing w:line="480" w:lineRule="auto"/>
        <w:jc w:val="both"/>
        <w:rPr>
          <w:rFonts w:ascii="Times New Roman" w:hAnsi="Times New Roman" w:cs="Times New Roman"/>
          <w:b/>
          <w:sz w:val="24"/>
          <w:szCs w:val="24"/>
        </w:rPr>
      </w:pPr>
      <w:r>
        <w:rPr>
          <w:rFonts w:ascii="Times New Roman" w:hAnsi="Times New Roman" w:cs="Times New Roman"/>
          <w:sz w:val="24"/>
          <w:szCs w:val="24"/>
        </w:rPr>
        <w:t xml:space="preserve">The six geopolitical zones are properly represented by the members of the Tribunal. </w:t>
      </w:r>
    </w:p>
    <w:p w14:paraId="38E7A0B2">
      <w:pPr>
        <w:spacing w:line="480" w:lineRule="auto"/>
        <w:jc w:val="both"/>
        <w:rPr>
          <w:rFonts w:ascii="Times New Roman" w:hAnsi="Times New Roman" w:cs="Times New Roman"/>
          <w:b/>
          <w:sz w:val="24"/>
          <w:szCs w:val="24"/>
        </w:rPr>
      </w:pPr>
    </w:p>
    <w:p w14:paraId="1BB2BDAC">
      <w:pPr>
        <w:spacing w:line="480" w:lineRule="auto"/>
        <w:jc w:val="both"/>
        <w:rPr>
          <w:rFonts w:ascii="Times New Roman" w:hAnsi="Times New Roman" w:cs="Times New Roman"/>
          <w:b/>
          <w:sz w:val="24"/>
          <w:szCs w:val="24"/>
        </w:rPr>
      </w:pPr>
    </w:p>
    <w:p w14:paraId="04B15E31">
      <w:pPr>
        <w:spacing w:line="480" w:lineRule="auto"/>
        <w:jc w:val="both"/>
        <w:rPr>
          <w:rFonts w:ascii="Times New Roman" w:hAnsi="Times New Roman" w:cs="Times New Roman"/>
          <w:b/>
          <w:sz w:val="24"/>
          <w:szCs w:val="24"/>
        </w:rPr>
      </w:pPr>
    </w:p>
    <w:p w14:paraId="29F6D698">
      <w:pPr>
        <w:spacing w:line="480" w:lineRule="auto"/>
        <w:jc w:val="both"/>
        <w:rPr>
          <w:rFonts w:ascii="Times New Roman" w:hAnsi="Times New Roman" w:cs="Times New Roman"/>
          <w:b/>
          <w:sz w:val="24"/>
          <w:szCs w:val="24"/>
        </w:rPr>
      </w:pPr>
    </w:p>
    <w:p w14:paraId="71A5E915">
      <w:pPr>
        <w:spacing w:line="480" w:lineRule="auto"/>
        <w:jc w:val="both"/>
        <w:rPr>
          <w:rFonts w:ascii="Times New Roman" w:hAnsi="Times New Roman" w:cs="Times New Roman"/>
          <w:b/>
          <w:sz w:val="24"/>
          <w:szCs w:val="24"/>
        </w:rPr>
      </w:pPr>
    </w:p>
    <w:p w14:paraId="04A5A384">
      <w:pPr>
        <w:spacing w:line="480" w:lineRule="auto"/>
        <w:jc w:val="both"/>
        <w:rPr>
          <w:rFonts w:ascii="Times New Roman" w:hAnsi="Times New Roman" w:cs="Times New Roman"/>
          <w:b/>
          <w:sz w:val="24"/>
          <w:szCs w:val="24"/>
        </w:rPr>
      </w:pPr>
    </w:p>
    <w:p w14:paraId="3D698898">
      <w:pPr>
        <w:rPr>
          <w:rFonts w:ascii="Times New Roman" w:hAnsi="Times New Roman" w:cs="Times New Roman"/>
          <w:b/>
          <w:sz w:val="24"/>
          <w:szCs w:val="24"/>
        </w:rPr>
      </w:pPr>
      <w:r>
        <w:rPr>
          <w:rFonts w:ascii="Times New Roman" w:hAnsi="Times New Roman" w:cs="Times New Roman"/>
          <w:b/>
          <w:sz w:val="24"/>
          <w:szCs w:val="24"/>
        </w:rPr>
        <w:br w:type="page"/>
      </w:r>
    </w:p>
    <w:p w14:paraId="23367B98">
      <w:pPr>
        <w:spacing w:line="480" w:lineRule="auto"/>
        <w:jc w:val="center"/>
        <w:rPr>
          <w:rFonts w:ascii="Times New Roman" w:hAnsi="Times New Roman" w:cs="Times New Roman"/>
          <w:b/>
          <w:sz w:val="24"/>
          <w:szCs w:val="24"/>
        </w:rPr>
      </w:pPr>
      <w:r>
        <w:rPr>
          <w:rFonts w:ascii="Times New Roman" w:hAnsi="Times New Roman" w:cs="Times New Roman"/>
          <w:b/>
          <w:sz w:val="24"/>
          <w:szCs w:val="24"/>
        </w:rPr>
        <w:t>CHAPTER FIVE</w:t>
      </w:r>
    </w:p>
    <w:p w14:paraId="311ADB55">
      <w:pPr>
        <w:spacing w:line="480" w:lineRule="auto"/>
        <w:jc w:val="center"/>
        <w:rPr>
          <w:rFonts w:ascii="Times New Roman" w:hAnsi="Times New Roman" w:cs="Times New Roman"/>
          <w:b/>
          <w:sz w:val="24"/>
          <w:szCs w:val="24"/>
        </w:rPr>
      </w:pPr>
      <w:r>
        <w:rPr>
          <w:rFonts w:ascii="Times New Roman" w:hAnsi="Times New Roman" w:cs="Times New Roman"/>
          <w:b/>
          <w:sz w:val="24"/>
          <w:szCs w:val="24"/>
        </w:rPr>
        <w:t>CONCLUSION</w:t>
      </w:r>
    </w:p>
    <w:p w14:paraId="0F383ED2">
      <w:pPr>
        <w:spacing w:line="480" w:lineRule="auto"/>
        <w:jc w:val="both"/>
        <w:rPr>
          <w:rFonts w:ascii="Times New Roman" w:hAnsi="Times New Roman" w:cs="Times New Roman"/>
          <w:b/>
          <w:sz w:val="24"/>
          <w:szCs w:val="24"/>
        </w:rPr>
      </w:pPr>
      <w:r>
        <w:rPr>
          <w:rFonts w:ascii="Times New Roman" w:hAnsi="Times New Roman" w:cs="Times New Roman"/>
          <w:b/>
          <w:sz w:val="24"/>
          <w:szCs w:val="24"/>
        </w:rPr>
        <w:t>5.1 Summary</w:t>
      </w:r>
    </w:p>
    <w:p w14:paraId="33337407">
      <w:pPr>
        <w:spacing w:after="0" w:line="480" w:lineRule="auto"/>
        <w:jc w:val="both"/>
        <w:rPr>
          <w:rFonts w:ascii="Times New Roman" w:hAnsi="Times New Roman" w:cs="Times New Roman"/>
          <w:color w:val="000000"/>
          <w:sz w:val="24"/>
          <w:szCs w:val="24"/>
        </w:rPr>
      </w:pPr>
      <w:r>
        <w:rPr>
          <w:rFonts w:ascii="Times New Roman" w:hAnsi="Times New Roman" w:cs="Times New Roman"/>
          <w:sz w:val="24"/>
          <w:szCs w:val="24"/>
        </w:rPr>
        <w:t>The Federal Competition and Consumer Protection Commission Act, 2018 (FCCCPA) amongst other things repealed the Consumer Protection Council Act; dissolved the Consumer Protection Council (CPC) and established the Federal Competition and Consumer Protection Commission (FCCPC) and the Competition and Consumer Protection Tribunal (CCPT).</w:t>
      </w:r>
    </w:p>
    <w:p w14:paraId="30B0D851">
      <w:pPr>
        <w:spacing w:after="0"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central objective of this research was the Establishment of Competitive and Consumer Protection Tribunal. The Tribunal which is the first of its kind was established by the virtue of section 39 of FCCPA </w:t>
      </w:r>
      <w:r>
        <w:rPr>
          <w:rFonts w:ascii="Times New Roman" w:hAnsi="Times New Roman" w:cs="Times New Roman"/>
          <w:sz w:val="24"/>
          <w:szCs w:val="24"/>
        </w:rPr>
        <w:t>for the development and promotion of fair, efficient and competitive markets in the Nigerian economy to facilitate access by all citizens to safe products and secure the protection of rights for all consumers in Nigeria; and for related matters. The Tribunal has the power to adjudicate on matters that is of consumer concerns including fight against anti-competition practices in Nigeria.</w:t>
      </w:r>
      <w:r>
        <w:rPr>
          <w:rFonts w:ascii="Times New Roman" w:hAnsi="Times New Roman" w:cs="Times New Roman"/>
          <w:color w:val="000000"/>
          <w:sz w:val="24"/>
          <w:szCs w:val="24"/>
        </w:rPr>
        <w:t xml:space="preserve"> </w:t>
      </w:r>
    </w:p>
    <w:p w14:paraId="1AF61833">
      <w:pPr>
        <w:spacing w:after="0" w:line="480" w:lineRule="auto"/>
        <w:jc w:val="both"/>
        <w:rPr>
          <w:rFonts w:ascii="Times New Roman" w:hAnsi="Times New Roman" w:cs="Times New Roman"/>
          <w:color w:val="000000"/>
          <w:sz w:val="24"/>
          <w:szCs w:val="24"/>
        </w:rPr>
      </w:pPr>
    </w:p>
    <w:p w14:paraId="3308653F">
      <w:pPr>
        <w:spacing w:after="0"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 relation to consumer protection, the Tribunal is expected to protect consumer’s interests and welfare as well as facilitate the access to a wider variety of quality products and sustainable development of the Nigerian economy through their quality, swift and effective judgments. At the course of overviewing </w:t>
      </w:r>
      <w:r>
        <w:rPr>
          <w:rFonts w:ascii="Times New Roman" w:hAnsi="Times New Roman" w:cs="Times New Roman"/>
          <w:color w:val="000000"/>
          <w:sz w:val="24"/>
          <w:szCs w:val="24"/>
          <w:lang w:val="en-GB"/>
        </w:rPr>
        <w:t>the</w:t>
      </w:r>
      <w:r>
        <w:rPr>
          <w:rFonts w:ascii="Times New Roman" w:hAnsi="Times New Roman" w:cs="Times New Roman"/>
          <w:color w:val="000000"/>
          <w:sz w:val="24"/>
          <w:szCs w:val="24"/>
        </w:rPr>
        <w:t xml:space="preserve"> establishment of the Tribunal, the research noted that all sectors of the economy including all businesses fall within the scope of jurisdiction of the Tribunal. Even sectors that have specific regulations in relation to competition or consumer protection fall within the purview of the Tribunal. All economic and commercial activities, undertakings and arrangements undertaken within Nigeria: whether undertaken by individuals or corporate bodies and intents to achieve production and trade in goods as well as provision of services; Extra-territorial arrangements and conduct: all acts, undertakings, arrangements, economic and commercial activities having an effect within Nigeria, change of control transactions involving acquisition of shares or other assets in Nigeria by individual or corporate as well as conducts outside Nigeria carried on by a Nigerian citizen or body corporate registered in Nigeria as provided by the Act, are within the ambit of the Tribunal’s jurisdiction. The Act equally provides for the jurisdiction of the Commission, noting in section 47 that before the tribunal will make their decision on a matter, such matter shall be considered first by the Commission or </w:t>
      </w:r>
      <w:r>
        <w:rPr>
          <w:rFonts w:ascii="Times New Roman" w:hAnsi="Times New Roman" w:cs="Times New Roman"/>
          <w:sz w:val="24"/>
          <w:szCs w:val="24"/>
        </w:rPr>
        <w:t>other Consumer Protection Regulatory Authorities.</w:t>
      </w:r>
      <w:r>
        <w:rPr>
          <w:rFonts w:ascii="Times New Roman" w:hAnsi="Times New Roman" w:cs="Times New Roman"/>
          <w:color w:val="000000"/>
          <w:sz w:val="24"/>
          <w:szCs w:val="24"/>
        </w:rPr>
        <w:t xml:space="preserve"> Therefore, the Tribunal serves as an appellate body that receives the judgment of the Commission.</w:t>
      </w:r>
    </w:p>
    <w:p w14:paraId="78D720E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An action shall be commenced against any of the members of the Tribunal after the expiration of 30 days after a written notice of intention to commence a suit have been served on the Tribunal for any alleged neglect done in pursuance or execution of the provisions of the Act or any other enactment or any public duty.  </w:t>
      </w:r>
    </w:p>
    <w:p w14:paraId="6CC40405">
      <w:pPr>
        <w:spacing w:line="480" w:lineRule="auto"/>
        <w:jc w:val="both"/>
        <w:rPr>
          <w:rFonts w:ascii="Times New Roman" w:hAnsi="Times New Roman" w:cs="Times New Roman"/>
          <w:b/>
          <w:sz w:val="24"/>
          <w:szCs w:val="24"/>
        </w:rPr>
      </w:pPr>
      <w:r>
        <w:rPr>
          <w:rFonts w:ascii="Times New Roman" w:hAnsi="Times New Roman" w:cs="Times New Roman"/>
          <w:b/>
          <w:sz w:val="24"/>
          <w:szCs w:val="24"/>
        </w:rPr>
        <w:t>5.2 Conclusion</w:t>
      </w:r>
    </w:p>
    <w:p w14:paraId="1DDBF89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FCCPA is an interwoven legislation encompassing competition law, consumer rights, consumer protection, product liability, misleading advertisement and other unfair trade practices. The establishment of the Tribunal is laudable in that it went a long way to bring to the limelight of FCCPA and the need to enable competition as a veritable tool for the protection of Nigerian consumers and an institution of efficient justice to the innocent parties. The constant delay in administration of justice by the Nigeria judiciary is one of the major reasons for the establishment of the Tribunal. The Tribunal has come to ensure that the consumers, manufactures and service providers get their justice as quick as practicable. In an attempt to achieve the above aim, the FFCPA shun the High court, and make the Court of Appeal the appellate Court </w:t>
      </w:r>
    </w:p>
    <w:p w14:paraId="2BD6A816">
      <w:pPr>
        <w:spacing w:line="480" w:lineRule="auto"/>
        <w:jc w:val="both"/>
        <w:rPr>
          <w:rFonts w:ascii="Times New Roman" w:hAnsi="Times New Roman" w:cs="Times New Roman"/>
          <w:sz w:val="24"/>
          <w:szCs w:val="24"/>
        </w:rPr>
      </w:pPr>
      <w:r>
        <w:rPr>
          <w:rFonts w:ascii="Times New Roman" w:hAnsi="Times New Roman" w:cs="Times New Roman"/>
          <w:sz w:val="24"/>
          <w:szCs w:val="24"/>
        </w:rPr>
        <w:t>The Tribunal has made some important achievements in remedying aggrieved innocent party in matters concerning competition and consumer protection in Nigeria but nevertheless, there are many unsettled issues arising from the operation of the Tribunal. Some of them are as follows:</w:t>
      </w:r>
    </w:p>
    <w:p w14:paraId="7C7361AF">
      <w:pPr>
        <w:spacing w:line="480" w:lineRule="auto"/>
        <w:jc w:val="both"/>
        <w:rPr>
          <w:rFonts w:ascii="Times New Roman" w:hAnsi="Times New Roman" w:cs="Times New Roman"/>
          <w:sz w:val="24"/>
          <w:szCs w:val="24"/>
        </w:rPr>
      </w:pPr>
      <w:r>
        <w:rPr>
          <w:rFonts w:ascii="Times New Roman" w:hAnsi="Times New Roman" w:cs="Times New Roman"/>
          <w:sz w:val="24"/>
          <w:szCs w:val="24"/>
        </w:rPr>
        <w:t>Competition law cases are business related, and in business, time management and efficient allocation of resources are very important. I want to assume that the Tribunal will be efficient and decide cases at a faster pace than the regular Nigerian courts. However, the FCCPA ought to have considered the delays in the Nigerian judiciary which can make a case linger for over 10 years, and imposed timeframes for the hearing of appeals and delivering of judgment on competition cases at the Appeal Court in the same manner provided in the 2018 amendment to the Nigerian Constitution for pre-electoral cases which are time bound.</w:t>
      </w:r>
      <w:r>
        <w:rPr>
          <w:rStyle w:val="7"/>
          <w:rFonts w:ascii="Times New Roman" w:hAnsi="Times New Roman" w:cs="Times New Roman"/>
          <w:sz w:val="24"/>
          <w:szCs w:val="24"/>
        </w:rPr>
        <w:footnoteReference w:id="155"/>
      </w:r>
      <w:r>
        <w:rPr>
          <w:rFonts w:ascii="Times New Roman" w:hAnsi="Times New Roman" w:cs="Times New Roman"/>
          <w:sz w:val="24"/>
          <w:szCs w:val="24"/>
        </w:rPr>
        <w:t xml:space="preserve"> Equally, it is worth noting that the FCCPA is silent on whether the decision of the Appeal Court on competition and consumer protection is final or can be further appealed to the Supreme Court. This creates another challenge of interpretation as some cases in Nigeria terminate at the Court of Appeal while others at the Supreme Court. </w:t>
      </w:r>
    </w:p>
    <w:p w14:paraId="0BA7C695">
      <w:pPr>
        <w:spacing w:line="480" w:lineRule="auto"/>
        <w:jc w:val="both"/>
        <w:rPr>
          <w:rFonts w:ascii="Times New Roman" w:hAnsi="Times New Roman" w:cs="Times New Roman"/>
          <w:sz w:val="24"/>
          <w:szCs w:val="24"/>
        </w:rPr>
      </w:pPr>
      <w:r>
        <w:rPr>
          <w:rFonts w:ascii="Times New Roman" w:hAnsi="Times New Roman" w:cs="Times New Roman"/>
          <w:sz w:val="24"/>
          <w:szCs w:val="24"/>
        </w:rPr>
        <w:t>Secondly, there has been some concern about the overbearing political interference in the FCCPA as exemplified by some powers granted to the executive in several provisions of the Act, a feature that is considered to be antithetical to the independence of the Commission and the Tribunal, and could make the Tribunal an appendage of political actors. For example, section 88-91 which make up Part XI of the FCCPA provide for price regulation of some selected goods and services upon an order of the President published in the Gazette.</w:t>
      </w:r>
    </w:p>
    <w:p w14:paraId="62B26B09">
      <w:pPr>
        <w:spacing w:line="480" w:lineRule="auto"/>
        <w:jc w:val="both"/>
        <w:rPr>
          <w:rFonts w:ascii="Times New Roman" w:hAnsi="Times New Roman" w:cs="Times New Roman"/>
          <w:sz w:val="24"/>
          <w:szCs w:val="24"/>
        </w:rPr>
      </w:pPr>
      <w:r>
        <w:rPr>
          <w:rFonts w:ascii="Times New Roman" w:hAnsi="Times New Roman" w:cs="Times New Roman"/>
          <w:sz w:val="24"/>
          <w:szCs w:val="24"/>
        </w:rPr>
        <w:t>Furthermore, Some provisions of the FCCPA clash with the statutory powers of some regulatory agencies like the Standards Organisation of Nigeria in section 17 (1) (a) (b) (c)</w:t>
      </w:r>
      <w:r>
        <w:rPr>
          <w:rStyle w:val="7"/>
          <w:rFonts w:ascii="Times New Roman" w:hAnsi="Times New Roman" w:cs="Times New Roman"/>
          <w:sz w:val="24"/>
          <w:szCs w:val="24"/>
        </w:rPr>
        <w:footnoteReference w:id="156"/>
      </w:r>
      <w:r>
        <w:rPr>
          <w:rFonts w:ascii="Times New Roman" w:hAnsi="Times New Roman" w:cs="Times New Roman"/>
          <w:sz w:val="24"/>
          <w:szCs w:val="24"/>
        </w:rPr>
        <w:t xml:space="preserve"> and 18(1)(b) and; the National Agency for Food and Drug Administration and Control in section 24 (1)(b)(d) and (e); Nigerian Customs Service </w:t>
      </w:r>
      <w:r>
        <w:rPr>
          <w:rFonts w:ascii="Times New Roman" w:hAnsi="Times New Roman" w:cs="Times New Roman"/>
          <w:i/>
          <w:sz w:val="24"/>
          <w:szCs w:val="24"/>
        </w:rPr>
        <w:t>et cetera.</w:t>
      </w:r>
      <w:r>
        <w:rPr>
          <w:rFonts w:ascii="Times New Roman" w:hAnsi="Times New Roman" w:cs="Times New Roman"/>
          <w:sz w:val="24"/>
          <w:szCs w:val="24"/>
        </w:rPr>
        <w:t xml:space="preserve"> These agencies whose mandate equally includes consumer protection may consider the FCCPA to be encroaching into their statutory provinces, where they have developed considerable expertise. This raises questions as to whether these agencies will respond favourably to any approaches to be made by the Commission or CCPT to them pursuant to the provisions of Section 104, 105 and 106 of FCCPA. </w:t>
      </w:r>
    </w:p>
    <w:p w14:paraId="33B09298">
      <w:pPr>
        <w:spacing w:line="480" w:lineRule="auto"/>
        <w:jc w:val="both"/>
        <w:rPr>
          <w:rFonts w:ascii="Times New Roman" w:hAnsi="Times New Roman" w:cs="Times New Roman"/>
          <w:sz w:val="24"/>
          <w:szCs w:val="24"/>
        </w:rPr>
      </w:pPr>
      <w:r>
        <w:rPr>
          <w:rFonts w:ascii="Times New Roman" w:hAnsi="Times New Roman" w:cs="Times New Roman"/>
          <w:sz w:val="24"/>
          <w:szCs w:val="24"/>
        </w:rPr>
        <w:t>Another challenge is the Tribunal tenure of office. FCCPA provides for a single 5 year tenured appointment of the members of the CCPT.</w:t>
      </w:r>
      <w:r>
        <w:rPr>
          <w:rStyle w:val="7"/>
          <w:rFonts w:ascii="Times New Roman" w:hAnsi="Times New Roman" w:cs="Times New Roman"/>
          <w:sz w:val="24"/>
          <w:szCs w:val="24"/>
        </w:rPr>
        <w:footnoteReference w:id="157"/>
      </w:r>
      <w:r>
        <w:rPr>
          <w:rFonts w:ascii="Times New Roman" w:hAnsi="Times New Roman" w:cs="Times New Roman"/>
          <w:sz w:val="24"/>
          <w:szCs w:val="24"/>
        </w:rPr>
        <w:t xml:space="preserve"> This provision is equally similar to that of South Africa, the jurisdiction from which I believe Nigeria adopted most of the provisions of the FCCPA from. The reason why this is a problem for Nigeria is because the FCCPA seems to hold out a position that the CCPT is a court of law unlike South Africa. If this is so, there is a problem in subjecting its members to a short tenured appointment, especially for a new competition regime in a developing country. From experience, the longer a judicial officer performs their duties in interpreting the law, the more experienced.</w:t>
      </w:r>
      <w:r>
        <w:rPr>
          <w:rStyle w:val="7"/>
          <w:rFonts w:ascii="Times New Roman" w:hAnsi="Times New Roman" w:cs="Times New Roman"/>
          <w:sz w:val="24"/>
          <w:szCs w:val="24"/>
        </w:rPr>
        <w:footnoteReference w:id="158"/>
      </w:r>
      <w:r>
        <w:rPr>
          <w:rFonts w:ascii="Times New Roman" w:hAnsi="Times New Roman" w:cs="Times New Roman"/>
          <w:sz w:val="24"/>
          <w:szCs w:val="24"/>
        </w:rPr>
        <w:t xml:space="preserve"> The implication of this provision is that in every 5 years, new officers who may not have had any prior judicial experience will be appointed into the CCPT. This does not guarantee the stability much needed by a new competition regime, as the judicial philosophy of the new members may differ from that of the previous ones. South Africa avoided this problem by stating clearly that the Tribunal is a juristic person (not a court of law)</w:t>
      </w:r>
      <w:r>
        <w:rPr>
          <w:rStyle w:val="7"/>
          <w:rFonts w:ascii="Times New Roman" w:hAnsi="Times New Roman" w:cs="Times New Roman"/>
          <w:sz w:val="24"/>
          <w:szCs w:val="24"/>
        </w:rPr>
        <w:footnoteReference w:id="159"/>
      </w:r>
      <w:r>
        <w:rPr>
          <w:rFonts w:ascii="Times New Roman" w:hAnsi="Times New Roman" w:cs="Times New Roman"/>
          <w:sz w:val="24"/>
          <w:szCs w:val="24"/>
        </w:rPr>
        <w:t xml:space="preserve"> and created the Competition Appeal Court (CAC), a division of the South Africa High Court which sits on appeal over the decisions of the Tribunal. </w:t>
      </w:r>
    </w:p>
    <w:p w14:paraId="1B345601">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Another one is the Tribunal’s jurisdiction over the decisions of the Commission is also in terms of the exclusive jurisdiction of the Federal High Court over actions or disputes involving the Federal Government and any of its agencies. In </w:t>
      </w:r>
      <w:r>
        <w:rPr>
          <w:rFonts w:ascii="Times New Roman" w:hAnsi="Times New Roman" w:cs="Times New Roman"/>
          <w:i/>
          <w:sz w:val="24"/>
          <w:szCs w:val="24"/>
        </w:rPr>
        <w:t>Central Bank of Nigeria and Ors v Aite Okojie,</w:t>
      </w:r>
      <w:r>
        <w:rPr>
          <w:rStyle w:val="7"/>
          <w:rFonts w:ascii="Times New Roman" w:hAnsi="Times New Roman" w:cs="Times New Roman"/>
          <w:sz w:val="24"/>
          <w:szCs w:val="24"/>
        </w:rPr>
        <w:footnoteReference w:id="160"/>
      </w:r>
      <w:r>
        <w:rPr>
          <w:rFonts w:ascii="Times New Roman" w:hAnsi="Times New Roman" w:cs="Times New Roman"/>
          <w:sz w:val="24"/>
          <w:szCs w:val="24"/>
        </w:rPr>
        <w:t xml:space="preserve"> the Supreme Court in interpreting Section 251 (1) (p) (q) and (r) of the Constitution held that; </w:t>
      </w:r>
    </w:p>
    <w:p w14:paraId="0C26D235">
      <w:pPr>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notwithstanding anything to the contrary contained in this Constitution and in addition to such other jurisdiction as may be conferred upon it by an Act of the National Assembly, the Federal High Court shall have and exercise jurisdiction to the exclusion of any other court in civil causes and matters– any action or proceeding for a declaration or injunction affecting the validity of any executive or administrative action or decision by the Federal Government or any of its agencies…</w:t>
      </w:r>
    </w:p>
    <w:p w14:paraId="5C82086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Despite the challenges, the establishment of the Tribunal is still a promising one; hopefully the National Assemble will amend the FCCPA and address the above concerns which will facilitate efficiency of the Tribunal. </w:t>
      </w:r>
    </w:p>
    <w:p w14:paraId="1D539F1E">
      <w:pPr>
        <w:spacing w:line="480" w:lineRule="auto"/>
        <w:jc w:val="both"/>
        <w:rPr>
          <w:rFonts w:ascii="Times New Roman" w:hAnsi="Times New Roman" w:cs="Times New Roman"/>
          <w:b/>
          <w:sz w:val="24"/>
          <w:szCs w:val="24"/>
        </w:rPr>
      </w:pPr>
    </w:p>
    <w:p w14:paraId="106847E4">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5.3 Recommendations</w:t>
      </w:r>
    </w:p>
    <w:p w14:paraId="00E08D26">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One of the purposes of legal research is to enhance legal knowledge to the readers and prospective researchers. To this end, this study even though acknowledged the effort of the law makers in birthing this Act, recommends the following to the law makers, and the Tribunal: </w:t>
      </w:r>
    </w:p>
    <w:p w14:paraId="5ED18A8A">
      <w:pPr>
        <w:pStyle w:val="17"/>
        <w:numPr>
          <w:ilvl w:val="0"/>
          <w:numId w:val="22"/>
        </w:numPr>
        <w:spacing w:before="100" w:beforeAutospacing="1" w:line="480" w:lineRule="auto"/>
        <w:jc w:val="both"/>
        <w:rPr>
          <w:rFonts w:ascii="Times New Roman" w:hAnsi="Times New Roman" w:cs="Times New Roman"/>
          <w:sz w:val="24"/>
          <w:szCs w:val="24"/>
        </w:rPr>
      </w:pPr>
      <w:r>
        <w:rPr>
          <w:rFonts w:ascii="Times New Roman" w:hAnsi="Times New Roman" w:cs="Times New Roman"/>
          <w:sz w:val="24"/>
          <w:szCs w:val="24"/>
        </w:rPr>
        <w:t>There is need to appoint only professionals and experts in the field of Competition and Consumer Protection Laws as sole members of the Tribunal;</w:t>
      </w:r>
    </w:p>
    <w:p w14:paraId="39E0B6C6">
      <w:pPr>
        <w:pStyle w:val="17"/>
        <w:numPr>
          <w:ilvl w:val="0"/>
          <w:numId w:val="22"/>
        </w:numPr>
        <w:spacing w:before="100" w:beforeAutospacing="1" w:line="480" w:lineRule="auto"/>
        <w:jc w:val="both"/>
        <w:rPr>
          <w:rFonts w:ascii="Times New Roman" w:hAnsi="Times New Roman" w:cs="Times New Roman"/>
          <w:sz w:val="24"/>
          <w:szCs w:val="24"/>
        </w:rPr>
      </w:pPr>
      <w:r>
        <w:rPr>
          <w:rFonts w:ascii="Times New Roman" w:hAnsi="Times New Roman" w:cs="Times New Roman"/>
          <w:sz w:val="24"/>
          <w:szCs w:val="24"/>
        </w:rPr>
        <w:t>Every form of executive interference should be aborted. The power of the President to order price regulations under section 88 should be repealed and such conferred on the Tribunal to be exercised on discretion;</w:t>
      </w:r>
    </w:p>
    <w:p w14:paraId="06BFCCA0">
      <w:pPr>
        <w:pStyle w:val="17"/>
        <w:numPr>
          <w:ilvl w:val="0"/>
          <w:numId w:val="22"/>
        </w:numPr>
        <w:spacing w:before="100" w:beforeAutospacing="1" w:line="480" w:lineRule="auto"/>
        <w:jc w:val="both"/>
        <w:rPr>
          <w:rFonts w:ascii="Times New Roman" w:hAnsi="Times New Roman" w:cs="Times New Roman"/>
          <w:sz w:val="24"/>
          <w:szCs w:val="24"/>
        </w:rPr>
      </w:pPr>
      <w:r>
        <w:rPr>
          <w:rFonts w:ascii="Times New Roman" w:hAnsi="Times New Roman" w:cs="Times New Roman"/>
          <w:sz w:val="24"/>
          <w:szCs w:val="24"/>
        </w:rPr>
        <w:t>Appointment of the members of the Tribunal should be solely the duty of National Judicial Council based on merit and subject to approval by the Senate;</w:t>
      </w:r>
    </w:p>
    <w:p w14:paraId="1A731186">
      <w:pPr>
        <w:pStyle w:val="17"/>
        <w:numPr>
          <w:ilvl w:val="0"/>
          <w:numId w:val="22"/>
        </w:numPr>
        <w:spacing w:before="100" w:beforeAutospacing="1" w:line="480" w:lineRule="auto"/>
        <w:jc w:val="both"/>
        <w:rPr>
          <w:rFonts w:ascii="Times New Roman" w:hAnsi="Times New Roman" w:cs="Times New Roman"/>
          <w:sz w:val="24"/>
          <w:szCs w:val="24"/>
        </w:rPr>
      </w:pPr>
      <w:r>
        <w:rPr>
          <w:rFonts w:ascii="Times New Roman" w:hAnsi="Times New Roman" w:cs="Times New Roman"/>
          <w:sz w:val="24"/>
          <w:szCs w:val="24"/>
        </w:rPr>
        <w:t>Members of the Tribunal need to be accorded judicial immunity to enable them carry out their functions without fear;</w:t>
      </w:r>
    </w:p>
    <w:p w14:paraId="113ED729">
      <w:pPr>
        <w:pStyle w:val="17"/>
        <w:numPr>
          <w:ilvl w:val="0"/>
          <w:numId w:val="22"/>
        </w:numPr>
        <w:spacing w:before="100" w:beforeAutospacing="1" w:line="480" w:lineRule="auto"/>
        <w:jc w:val="both"/>
        <w:rPr>
          <w:rFonts w:ascii="Times New Roman" w:hAnsi="Times New Roman" w:cs="Times New Roman"/>
          <w:sz w:val="24"/>
          <w:szCs w:val="24"/>
        </w:rPr>
      </w:pPr>
      <w:r>
        <w:rPr>
          <w:rFonts w:ascii="Times New Roman" w:hAnsi="Times New Roman" w:cs="Times New Roman"/>
          <w:sz w:val="24"/>
          <w:szCs w:val="24"/>
        </w:rPr>
        <w:t xml:space="preserve">Security of tenure: the five years appointment is inappropriate, members of the Tribunal deserve to be treated like Federal High Court judges; </w:t>
      </w:r>
    </w:p>
    <w:p w14:paraId="6B2A05B1">
      <w:pPr>
        <w:pStyle w:val="17"/>
        <w:numPr>
          <w:ilvl w:val="0"/>
          <w:numId w:val="22"/>
        </w:numPr>
        <w:spacing w:before="100" w:beforeAutospacing="1" w:line="480" w:lineRule="auto"/>
        <w:jc w:val="both"/>
        <w:rPr>
          <w:rFonts w:ascii="Times New Roman" w:hAnsi="Times New Roman" w:cs="Times New Roman"/>
          <w:sz w:val="24"/>
          <w:szCs w:val="24"/>
        </w:rPr>
      </w:pPr>
      <w:r>
        <w:rPr>
          <w:rFonts w:ascii="Times New Roman" w:hAnsi="Times New Roman" w:cs="Times New Roman"/>
          <w:sz w:val="24"/>
          <w:szCs w:val="24"/>
        </w:rPr>
        <w:t>The Tribunal should be adequately funded to enable them perform their functions efficiently;</w:t>
      </w:r>
    </w:p>
    <w:p w14:paraId="29882B3A">
      <w:pPr>
        <w:pStyle w:val="17"/>
        <w:numPr>
          <w:ilvl w:val="0"/>
          <w:numId w:val="22"/>
        </w:numPr>
        <w:spacing w:before="100" w:beforeAutospacing="1" w:line="480" w:lineRule="auto"/>
        <w:jc w:val="both"/>
        <w:rPr>
          <w:rFonts w:ascii="Times New Roman" w:hAnsi="Times New Roman" w:cs="Times New Roman"/>
          <w:sz w:val="24"/>
          <w:szCs w:val="24"/>
        </w:rPr>
      </w:pPr>
      <w:r>
        <w:rPr>
          <w:rFonts w:ascii="Times New Roman" w:hAnsi="Times New Roman" w:cs="Times New Roman"/>
          <w:sz w:val="24"/>
          <w:szCs w:val="24"/>
        </w:rPr>
        <w:t>There is need to create more courtrooms across all the states in the country;</w:t>
      </w:r>
    </w:p>
    <w:p w14:paraId="34265987">
      <w:pPr>
        <w:pStyle w:val="17"/>
        <w:numPr>
          <w:ilvl w:val="0"/>
          <w:numId w:val="22"/>
        </w:numPr>
        <w:spacing w:before="100" w:beforeAutospacing="1" w:line="480" w:lineRule="auto"/>
        <w:jc w:val="both"/>
        <w:rPr>
          <w:rFonts w:ascii="Times New Roman" w:hAnsi="Times New Roman" w:cs="Times New Roman"/>
          <w:sz w:val="24"/>
          <w:szCs w:val="24"/>
        </w:rPr>
      </w:pPr>
      <w:r>
        <w:rPr>
          <w:rFonts w:ascii="Times New Roman" w:hAnsi="Times New Roman" w:cs="Times New Roman"/>
          <w:sz w:val="24"/>
          <w:szCs w:val="24"/>
        </w:rPr>
        <w:t>The study recommends to the Tribunal to create awareness across the country about its operation;</w:t>
      </w:r>
    </w:p>
    <w:p w14:paraId="546F8533">
      <w:pPr>
        <w:pStyle w:val="17"/>
        <w:numPr>
          <w:ilvl w:val="0"/>
          <w:numId w:val="22"/>
        </w:numPr>
        <w:spacing w:before="100" w:beforeAutospacing="1" w:line="480" w:lineRule="auto"/>
        <w:jc w:val="both"/>
        <w:rPr>
          <w:rFonts w:ascii="Times New Roman" w:hAnsi="Times New Roman" w:cs="Times New Roman"/>
          <w:sz w:val="24"/>
          <w:szCs w:val="24"/>
        </w:rPr>
      </w:pPr>
      <w:r>
        <w:rPr>
          <w:rFonts w:ascii="Times New Roman" w:hAnsi="Times New Roman" w:cs="Times New Roman"/>
          <w:sz w:val="24"/>
          <w:szCs w:val="24"/>
        </w:rPr>
        <w:t>There is need for FCCPA to provide specific time frame of proceedings at the Tribunal;</w:t>
      </w:r>
    </w:p>
    <w:p w14:paraId="2128EAB1">
      <w:pPr>
        <w:pStyle w:val="17"/>
        <w:numPr>
          <w:ilvl w:val="0"/>
          <w:numId w:val="22"/>
        </w:numPr>
        <w:spacing w:before="100" w:beforeAutospacing="1" w:line="480" w:lineRule="auto"/>
        <w:jc w:val="both"/>
        <w:rPr>
          <w:rFonts w:ascii="Times New Roman" w:hAnsi="Times New Roman" w:cs="Times New Roman"/>
          <w:sz w:val="24"/>
          <w:szCs w:val="24"/>
          <w:lang w:val="en-GB"/>
        </w:rPr>
      </w:pPr>
      <w:r>
        <w:rPr>
          <w:rFonts w:ascii="Times New Roman" w:hAnsi="Times New Roman" w:cs="Times New Roman"/>
          <w:sz w:val="24"/>
          <w:szCs w:val="24"/>
        </w:rPr>
        <w:t>Finally, there is need for amendment of the FCCPA</w:t>
      </w:r>
      <w:r>
        <w:rPr>
          <w:rFonts w:ascii="Times New Roman" w:hAnsi="Times New Roman" w:cs="Times New Roman"/>
          <w:sz w:val="24"/>
          <w:szCs w:val="24"/>
          <w:lang w:val="en-GB"/>
        </w:rPr>
        <w:t xml:space="preserve"> and effect the above recommendations.</w:t>
      </w:r>
    </w:p>
    <w:p w14:paraId="62BD7D13">
      <w:pPr>
        <w:jc w:val="center"/>
        <w:rPr>
          <w:rFonts w:ascii="Times New Roman" w:hAnsi="Times New Roman" w:cs="Times New Roman"/>
          <w:b/>
          <w:sz w:val="24"/>
          <w:szCs w:val="24"/>
        </w:rPr>
      </w:pPr>
      <w:r>
        <w:rPr>
          <w:rFonts w:ascii="Times New Roman" w:hAnsi="Times New Roman" w:cs="Times New Roman"/>
          <w:sz w:val="24"/>
          <w:szCs w:val="24"/>
          <w:lang w:val="en-GB"/>
        </w:rPr>
        <w:br w:type="page"/>
      </w:r>
      <w:r>
        <w:rPr>
          <w:rFonts w:ascii="Times New Roman" w:hAnsi="Times New Roman" w:cs="Times New Roman"/>
          <w:b/>
          <w:sz w:val="24"/>
          <w:szCs w:val="24"/>
        </w:rPr>
        <w:t>BIBLIOGRAPHY</w:t>
      </w:r>
    </w:p>
    <w:p w14:paraId="30524CAB">
      <w:pPr>
        <w:tabs>
          <w:tab w:val="left" w:pos="3705"/>
        </w:tabs>
        <w:spacing w:line="240" w:lineRule="auto"/>
        <w:jc w:val="both"/>
        <w:rPr>
          <w:rFonts w:ascii="Times New Roman" w:hAnsi="Times New Roman" w:cs="Times New Roman"/>
          <w:b/>
          <w:sz w:val="24"/>
          <w:szCs w:val="24"/>
        </w:rPr>
      </w:pPr>
      <w:r>
        <w:rPr>
          <w:rFonts w:ascii="Times New Roman" w:hAnsi="Times New Roman" w:cs="Times New Roman"/>
          <w:b/>
          <w:sz w:val="24"/>
          <w:szCs w:val="24"/>
        </w:rPr>
        <w:t>Books</w:t>
      </w:r>
    </w:p>
    <w:p w14:paraId="647CBBDF">
      <w:pPr>
        <w:tabs>
          <w:tab w:val="left" w:pos="3705"/>
        </w:tabs>
        <w:spacing w:line="240" w:lineRule="auto"/>
        <w:jc w:val="both"/>
        <w:rPr>
          <w:rFonts w:ascii="Times New Roman" w:hAnsi="Times New Roman" w:cs="Times New Roman"/>
          <w:b/>
          <w:sz w:val="24"/>
          <w:szCs w:val="24"/>
        </w:rPr>
      </w:pPr>
    </w:p>
    <w:p w14:paraId="06394F97">
      <w:pPr>
        <w:spacing w:line="240" w:lineRule="auto"/>
        <w:jc w:val="both"/>
        <w:rPr>
          <w:rFonts w:ascii="Times New Roman" w:hAnsi="Times New Roman" w:cs="Times New Roman"/>
          <w:i/>
          <w:sz w:val="24"/>
          <w:szCs w:val="24"/>
        </w:rPr>
      </w:pPr>
      <w:r>
        <w:rPr>
          <w:rFonts w:ascii="Times New Roman" w:hAnsi="Times New Roman" w:cs="Times New Roman"/>
          <w:sz w:val="24"/>
          <w:szCs w:val="24"/>
        </w:rPr>
        <w:t xml:space="preserve">Das T. and Kumar U., </w:t>
      </w:r>
      <w:r>
        <w:rPr>
          <w:rFonts w:ascii="Times New Roman" w:hAnsi="Times New Roman" w:cs="Times New Roman"/>
          <w:i/>
          <w:sz w:val="24"/>
          <w:szCs w:val="24"/>
        </w:rPr>
        <w:t>Competition Policy and Law Made Easy. Monographs on</w:t>
      </w:r>
    </w:p>
    <w:p w14:paraId="2A417D54">
      <w:pPr>
        <w:spacing w:line="240" w:lineRule="auto"/>
        <w:ind w:firstLine="720"/>
        <w:jc w:val="both"/>
        <w:rPr>
          <w:rFonts w:ascii="Times New Roman" w:hAnsi="Times New Roman" w:cs="Times New Roman"/>
          <w:sz w:val="24"/>
          <w:szCs w:val="24"/>
        </w:rPr>
      </w:pPr>
      <w:r>
        <w:rPr>
          <w:rFonts w:ascii="Times New Roman" w:hAnsi="Times New Roman" w:cs="Times New Roman"/>
          <w:i/>
          <w:sz w:val="24"/>
          <w:szCs w:val="24"/>
        </w:rPr>
        <w:t>Investment and Competition Policy- vol. 8</w:t>
      </w:r>
      <w:r>
        <w:rPr>
          <w:rFonts w:ascii="Times New Roman" w:hAnsi="Times New Roman" w:cs="Times New Roman"/>
          <w:sz w:val="24"/>
          <w:szCs w:val="24"/>
        </w:rPr>
        <w:t>, Jhotwara (Jaipur Printer, 2001).</w:t>
      </w:r>
    </w:p>
    <w:p w14:paraId="3878ACEF">
      <w:pPr>
        <w:pStyle w:val="8"/>
        <w:jc w:val="both"/>
        <w:rPr>
          <w:rFonts w:ascii="Times New Roman" w:hAnsi="Times New Roman" w:eastAsia="Calibri"/>
          <w:sz w:val="24"/>
          <w:szCs w:val="24"/>
        </w:rPr>
      </w:pPr>
      <w:r>
        <w:rPr>
          <w:rFonts w:ascii="Times New Roman" w:hAnsi="Times New Roman" w:eastAsia="Calibri"/>
          <w:sz w:val="24"/>
          <w:szCs w:val="24"/>
        </w:rPr>
        <w:t>Felicia Monye</w:t>
      </w:r>
      <w:r>
        <w:rPr>
          <w:rFonts w:ascii="Times New Roman" w:hAnsi="Times New Roman" w:eastAsia="Calibri"/>
          <w:i/>
          <w:sz w:val="24"/>
          <w:szCs w:val="24"/>
        </w:rPr>
        <w:t>, Law of Consumer Protection- vol. 2- civil liability,</w:t>
      </w:r>
      <w:r>
        <w:rPr>
          <w:rFonts w:ascii="Times New Roman" w:hAnsi="Times New Roman" w:eastAsia="Calibri"/>
          <w:sz w:val="24"/>
          <w:szCs w:val="24"/>
        </w:rPr>
        <w:t xml:space="preserve"> Ibandan-</w:t>
      </w:r>
      <w:r>
        <w:rPr>
          <w:rFonts w:ascii="Times New Roman" w:hAnsi="Times New Roman" w:eastAsia="Calibri"/>
          <w:i/>
          <w:sz w:val="24"/>
          <w:szCs w:val="24"/>
        </w:rPr>
        <w:t xml:space="preserve"> </w:t>
      </w:r>
      <w:r>
        <w:rPr>
          <w:rFonts w:ascii="Times New Roman" w:hAnsi="Times New Roman" w:eastAsia="Calibri"/>
          <w:sz w:val="24"/>
          <w:szCs w:val="24"/>
        </w:rPr>
        <w:t xml:space="preserve">(2nd edn, </w:t>
      </w:r>
    </w:p>
    <w:p w14:paraId="03975B1C">
      <w:pPr>
        <w:pStyle w:val="8"/>
        <w:jc w:val="both"/>
        <w:rPr>
          <w:rFonts w:ascii="Times New Roman" w:hAnsi="Times New Roman" w:eastAsia="Calibri"/>
          <w:sz w:val="24"/>
          <w:szCs w:val="24"/>
        </w:rPr>
      </w:pPr>
      <w:r>
        <w:rPr>
          <w:rFonts w:ascii="Times New Roman" w:hAnsi="Times New Roman" w:eastAsia="Calibri"/>
          <w:sz w:val="24"/>
          <w:szCs w:val="24"/>
        </w:rPr>
        <w:t xml:space="preserve"> </w:t>
      </w:r>
      <w:r>
        <w:rPr>
          <w:rFonts w:ascii="Times New Roman" w:hAnsi="Times New Roman" w:eastAsia="Calibri"/>
          <w:sz w:val="24"/>
          <w:szCs w:val="24"/>
        </w:rPr>
        <w:tab/>
      </w:r>
      <w:r>
        <w:rPr>
          <w:rFonts w:ascii="Times New Roman" w:hAnsi="Times New Roman" w:eastAsia="Calibri"/>
          <w:sz w:val="24"/>
          <w:szCs w:val="24"/>
        </w:rPr>
        <w:t>Kraft Books Limited, Sango, 2021).</w:t>
      </w:r>
    </w:p>
    <w:p w14:paraId="436F0DF2">
      <w:pPr>
        <w:pStyle w:val="8"/>
        <w:jc w:val="both"/>
        <w:rPr>
          <w:rFonts w:ascii="Times New Roman" w:hAnsi="Times New Roman" w:eastAsia="Calibri"/>
          <w:sz w:val="24"/>
          <w:szCs w:val="24"/>
        </w:rPr>
      </w:pPr>
      <w:r>
        <w:rPr>
          <w:rFonts w:ascii="Times New Roman" w:hAnsi="Times New Roman" w:eastAsia="Calibri"/>
          <w:sz w:val="24"/>
          <w:szCs w:val="24"/>
        </w:rPr>
        <w:t xml:space="preserve">Jones A. and Sufrin, B. </w:t>
      </w:r>
      <w:r>
        <w:rPr>
          <w:rFonts w:ascii="Times New Roman" w:hAnsi="Times New Roman" w:eastAsia="Calibri"/>
          <w:i/>
          <w:sz w:val="24"/>
          <w:szCs w:val="24"/>
        </w:rPr>
        <w:t xml:space="preserve">European Union Competition </w:t>
      </w:r>
      <w:r>
        <w:rPr>
          <w:rFonts w:ascii="Times New Roman" w:hAnsi="Times New Roman" w:eastAsia="Calibri"/>
          <w:sz w:val="24"/>
          <w:szCs w:val="24"/>
        </w:rPr>
        <w:t xml:space="preserve">Law </w:t>
      </w:r>
      <w:r>
        <w:rPr>
          <w:rFonts w:ascii="Times New Roman" w:hAnsi="Times New Roman" w:eastAsia="Calibri"/>
          <w:i/>
          <w:sz w:val="24"/>
          <w:szCs w:val="24"/>
        </w:rPr>
        <w:t>Text, Cases and Materials</w:t>
      </w:r>
      <w:r>
        <w:rPr>
          <w:rFonts w:ascii="Times New Roman" w:hAnsi="Times New Roman" w:eastAsia="Calibri"/>
          <w:sz w:val="24"/>
          <w:szCs w:val="24"/>
        </w:rPr>
        <w:t xml:space="preserve">. </w:t>
      </w:r>
    </w:p>
    <w:p w14:paraId="7753345B">
      <w:pPr>
        <w:pStyle w:val="8"/>
        <w:ind w:firstLine="720"/>
        <w:jc w:val="both"/>
        <w:rPr>
          <w:rFonts w:ascii="Times New Roman" w:hAnsi="Times New Roman" w:eastAsia="Calibri"/>
          <w:sz w:val="24"/>
          <w:szCs w:val="24"/>
        </w:rPr>
      </w:pPr>
      <w:r>
        <w:rPr>
          <w:rFonts w:ascii="Times New Roman" w:hAnsi="Times New Roman" w:eastAsia="Calibri"/>
          <w:sz w:val="24"/>
          <w:szCs w:val="24"/>
        </w:rPr>
        <w:t>(5th edn. New York- Oxford University Press, 2014).</w:t>
      </w:r>
    </w:p>
    <w:p w14:paraId="66BA0891">
      <w:pPr>
        <w:pStyle w:val="8"/>
        <w:jc w:val="both"/>
        <w:rPr>
          <w:rFonts w:ascii="Times New Roman" w:hAnsi="Times New Roman" w:eastAsia="Calibri"/>
          <w:sz w:val="24"/>
          <w:szCs w:val="24"/>
        </w:rPr>
      </w:pPr>
      <w:r>
        <w:rPr>
          <w:rFonts w:ascii="Times New Roman" w:hAnsi="Times New Roman" w:eastAsia="Calibri"/>
          <w:sz w:val="24"/>
          <w:szCs w:val="24"/>
        </w:rPr>
        <w:t xml:space="preserve">O. Okpara; </w:t>
      </w:r>
      <w:r>
        <w:rPr>
          <w:rFonts w:ascii="Times New Roman" w:hAnsi="Times New Roman" w:eastAsia="Calibri"/>
          <w:i/>
          <w:sz w:val="24"/>
          <w:szCs w:val="24"/>
        </w:rPr>
        <w:t>Human Rights Law &amp; Practice in Nigeria</w:t>
      </w:r>
      <w:r>
        <w:rPr>
          <w:rFonts w:ascii="Times New Roman" w:hAnsi="Times New Roman" w:eastAsia="Calibri"/>
          <w:sz w:val="24"/>
          <w:szCs w:val="24"/>
        </w:rPr>
        <w:t>, Enugu- (Chengle Limited 2005)</w:t>
      </w:r>
    </w:p>
    <w:p w14:paraId="1DADD865">
      <w:pPr>
        <w:pStyle w:val="8"/>
        <w:jc w:val="both"/>
        <w:rPr>
          <w:rFonts w:ascii="Times New Roman" w:hAnsi="Times New Roman" w:eastAsia="Calibri"/>
          <w:i/>
          <w:sz w:val="24"/>
          <w:szCs w:val="24"/>
        </w:rPr>
      </w:pPr>
      <w:r>
        <w:rPr>
          <w:rFonts w:ascii="Times New Roman" w:hAnsi="Times New Roman" w:eastAsia="Calibri"/>
          <w:sz w:val="24"/>
          <w:szCs w:val="24"/>
        </w:rPr>
        <w:t>Smith A</w:t>
      </w:r>
      <w:r>
        <w:rPr>
          <w:rFonts w:ascii="Times New Roman" w:hAnsi="Times New Roman" w:eastAsia="Calibri"/>
          <w:i/>
          <w:sz w:val="24"/>
          <w:szCs w:val="24"/>
        </w:rPr>
        <w:t xml:space="preserve">., An Inquiry into the Nature and Causes of the Wealth of Nations, </w:t>
      </w:r>
      <w:r>
        <w:rPr>
          <w:rFonts w:ascii="Times New Roman" w:hAnsi="Times New Roman" w:eastAsia="Calibri"/>
          <w:sz w:val="24"/>
          <w:szCs w:val="24"/>
        </w:rPr>
        <w:t>(5th edn,</w:t>
      </w:r>
    </w:p>
    <w:p w14:paraId="5477F6D3">
      <w:pPr>
        <w:pStyle w:val="8"/>
        <w:ind w:firstLine="720"/>
        <w:jc w:val="both"/>
        <w:rPr>
          <w:rFonts w:ascii="Times New Roman" w:hAnsi="Times New Roman" w:eastAsia="Calibri"/>
          <w:sz w:val="24"/>
          <w:szCs w:val="24"/>
        </w:rPr>
      </w:pPr>
      <w:r>
        <w:rPr>
          <w:rFonts w:ascii="Times New Roman" w:hAnsi="Times New Roman" w:eastAsia="Calibri"/>
          <w:sz w:val="24"/>
          <w:szCs w:val="24"/>
        </w:rPr>
        <w:t xml:space="preserve">London-Methuen and Co Ltd, 1776). </w:t>
      </w:r>
    </w:p>
    <w:p w14:paraId="5BC820E3">
      <w:pPr>
        <w:spacing w:line="240" w:lineRule="auto"/>
        <w:jc w:val="both"/>
        <w:rPr>
          <w:rFonts w:ascii="Times New Roman" w:hAnsi="Times New Roman" w:cs="Times New Roman"/>
          <w:i/>
          <w:sz w:val="24"/>
          <w:szCs w:val="24"/>
        </w:rPr>
      </w:pPr>
      <w:r>
        <w:rPr>
          <w:rFonts w:ascii="Times New Roman" w:hAnsi="Times New Roman" w:cs="Times New Roman"/>
          <w:sz w:val="24"/>
          <w:szCs w:val="24"/>
        </w:rPr>
        <w:t xml:space="preserve">Spencer N. T., </w:t>
      </w:r>
      <w:r>
        <w:rPr>
          <w:rFonts w:ascii="Times New Roman" w:hAnsi="Times New Roman" w:cs="Times New Roman"/>
          <w:i/>
          <w:sz w:val="24"/>
          <w:szCs w:val="24"/>
        </w:rPr>
        <w:t xml:space="preserve">The Inequality of Bargaining Power Doctrine- The Problem of Defining </w:t>
      </w:r>
    </w:p>
    <w:p w14:paraId="1E29EEBC">
      <w:pPr>
        <w:spacing w:line="240" w:lineRule="auto"/>
        <w:ind w:left="720"/>
        <w:jc w:val="both"/>
        <w:rPr>
          <w:rFonts w:ascii="Times New Roman" w:hAnsi="Times New Roman" w:cs="Times New Roman"/>
          <w:sz w:val="24"/>
          <w:szCs w:val="24"/>
        </w:rPr>
      </w:pPr>
      <w:r>
        <w:rPr>
          <w:rFonts w:ascii="Times New Roman" w:hAnsi="Times New Roman" w:cs="Times New Roman"/>
          <w:i/>
          <w:sz w:val="24"/>
          <w:szCs w:val="24"/>
        </w:rPr>
        <w:t xml:space="preserve">Unfairness, </w:t>
      </w:r>
      <w:r>
        <w:rPr>
          <w:rFonts w:ascii="Times New Roman" w:hAnsi="Times New Roman" w:cs="Times New Roman"/>
          <w:sz w:val="24"/>
          <w:szCs w:val="24"/>
        </w:rPr>
        <w:t>(Vol. 8, Oxford: Oxford University Press, 1988).</w:t>
      </w:r>
    </w:p>
    <w:p w14:paraId="5894253E">
      <w:pPr>
        <w:tabs>
          <w:tab w:val="left" w:pos="3705"/>
        </w:tabs>
        <w:spacing w:line="240" w:lineRule="auto"/>
        <w:jc w:val="both"/>
        <w:rPr>
          <w:rFonts w:ascii="Times New Roman" w:hAnsi="Times New Roman" w:cs="Times New Roman"/>
          <w:sz w:val="24"/>
          <w:szCs w:val="24"/>
        </w:rPr>
      </w:pPr>
      <w:r>
        <w:rPr>
          <w:rFonts w:ascii="Times New Roman" w:hAnsi="Times New Roman" w:cs="Times New Roman"/>
          <w:sz w:val="24"/>
          <w:szCs w:val="24"/>
        </w:rPr>
        <w:tab/>
      </w:r>
    </w:p>
    <w:p w14:paraId="039BE3E3">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Whish, R. and Bailey, D., </w:t>
      </w:r>
      <w:r>
        <w:rPr>
          <w:rFonts w:ascii="Times New Roman" w:hAnsi="Times New Roman" w:cs="Times New Roman"/>
          <w:i/>
          <w:sz w:val="24"/>
          <w:szCs w:val="24"/>
        </w:rPr>
        <w:t>Competition Law</w:t>
      </w:r>
      <w:r>
        <w:rPr>
          <w:rFonts w:ascii="Times New Roman" w:hAnsi="Times New Roman" w:cs="Times New Roman"/>
          <w:sz w:val="24"/>
          <w:szCs w:val="24"/>
        </w:rPr>
        <w:t xml:space="preserve">- (7th edn, Oxford- Oxford University Press, </w:t>
      </w:r>
    </w:p>
    <w:p w14:paraId="4F693365">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2012).  </w:t>
      </w:r>
    </w:p>
    <w:p w14:paraId="10998998">
      <w:pPr>
        <w:spacing w:line="240" w:lineRule="auto"/>
        <w:jc w:val="both"/>
        <w:rPr>
          <w:rFonts w:ascii="Times New Roman" w:hAnsi="Times New Roman" w:cs="Times New Roman"/>
          <w:bCs/>
          <w:i/>
          <w:iCs/>
          <w:sz w:val="24"/>
          <w:szCs w:val="24"/>
        </w:rPr>
      </w:pPr>
      <w:r>
        <w:rPr>
          <w:rFonts w:ascii="Times New Roman" w:hAnsi="Times New Roman" w:cs="Times New Roman"/>
          <w:sz w:val="24"/>
          <w:szCs w:val="24"/>
        </w:rPr>
        <w:t xml:space="preserve">Wilberforce R.O, </w:t>
      </w:r>
      <w:r>
        <w:rPr>
          <w:rFonts w:ascii="Times New Roman" w:hAnsi="Times New Roman" w:cs="Times New Roman"/>
          <w:i/>
          <w:iCs/>
          <w:sz w:val="24"/>
          <w:szCs w:val="24"/>
        </w:rPr>
        <w:t xml:space="preserve">The Law of Restrictive Trade Practices and Monopolies by </w:t>
      </w:r>
      <w:r>
        <w:rPr>
          <w:rFonts w:ascii="Times New Roman" w:hAnsi="Times New Roman" w:cs="Times New Roman"/>
          <w:bCs/>
          <w:i/>
          <w:iCs/>
          <w:sz w:val="24"/>
          <w:szCs w:val="24"/>
        </w:rPr>
        <w:t xml:space="preserve">Lord </w:t>
      </w:r>
    </w:p>
    <w:p w14:paraId="0EF92C57">
      <w:pPr>
        <w:spacing w:line="240" w:lineRule="auto"/>
        <w:ind w:left="720"/>
        <w:jc w:val="both"/>
        <w:rPr>
          <w:rFonts w:ascii="Times New Roman" w:hAnsi="Times New Roman" w:cs="Times New Roman"/>
          <w:i/>
          <w:iCs/>
          <w:sz w:val="24"/>
          <w:szCs w:val="24"/>
        </w:rPr>
      </w:pPr>
      <w:r>
        <w:rPr>
          <w:rFonts w:ascii="Times New Roman" w:hAnsi="Times New Roman" w:cs="Times New Roman"/>
          <w:bCs/>
          <w:i/>
          <w:iCs/>
          <w:sz w:val="24"/>
          <w:szCs w:val="24"/>
        </w:rPr>
        <w:t>Wilberforce,</w:t>
      </w:r>
      <w:r>
        <w:rPr>
          <w:rFonts w:ascii="Times New Roman" w:hAnsi="Times New Roman" w:cs="Times New Roman"/>
          <w:i/>
          <w:iCs/>
          <w:sz w:val="24"/>
          <w:szCs w:val="24"/>
        </w:rPr>
        <w:t xml:space="preserve"> </w:t>
      </w:r>
      <w:r>
        <w:rPr>
          <w:rFonts w:ascii="Times New Roman" w:hAnsi="Times New Roman" w:cs="Times New Roman"/>
          <w:bCs/>
          <w:i/>
          <w:iCs/>
          <w:sz w:val="24"/>
          <w:szCs w:val="24"/>
        </w:rPr>
        <w:t>Alan Campbell and Neil Elles,</w:t>
      </w:r>
      <w:r>
        <w:rPr>
          <w:rFonts w:ascii="Times New Roman" w:hAnsi="Times New Roman" w:cs="Times New Roman"/>
          <w:sz w:val="24"/>
          <w:szCs w:val="24"/>
        </w:rPr>
        <w:t xml:space="preserve"> London- (2nd edn, Sweet and Maxwell Ltd, 1966).</w:t>
      </w:r>
    </w:p>
    <w:p w14:paraId="2CD87B70">
      <w:pPr>
        <w:spacing w:line="240" w:lineRule="auto"/>
        <w:jc w:val="both"/>
        <w:rPr>
          <w:rFonts w:ascii="Times New Roman" w:hAnsi="Times New Roman" w:cs="Times New Roman"/>
          <w:sz w:val="24"/>
          <w:szCs w:val="24"/>
        </w:rPr>
      </w:pPr>
    </w:p>
    <w:p w14:paraId="13BBDFD6">
      <w:pPr>
        <w:pStyle w:val="8"/>
        <w:jc w:val="both"/>
        <w:rPr>
          <w:rFonts w:ascii="Times New Roman" w:hAnsi="Times New Roman" w:eastAsia="Calibri"/>
          <w:b/>
          <w:sz w:val="24"/>
          <w:szCs w:val="24"/>
        </w:rPr>
      </w:pPr>
      <w:r>
        <w:rPr>
          <w:rFonts w:ascii="Times New Roman" w:hAnsi="Times New Roman" w:eastAsia="Calibri"/>
          <w:b/>
          <w:sz w:val="24"/>
          <w:szCs w:val="24"/>
        </w:rPr>
        <w:t xml:space="preserve">Journals Articles </w:t>
      </w:r>
    </w:p>
    <w:p w14:paraId="0A7A21A0">
      <w:pPr>
        <w:pStyle w:val="21"/>
        <w:jc w:val="both"/>
      </w:pPr>
      <w:r>
        <w:t>Darrow, Peter H., “Commercial Nuisance- A Theory of Consumer Protection,"</w:t>
      </w:r>
    </w:p>
    <w:p w14:paraId="2FEADDDE">
      <w:pPr>
        <w:pStyle w:val="21"/>
        <w:ind w:firstLine="720"/>
        <w:jc w:val="both"/>
      </w:pPr>
      <w:r>
        <w:rPr>
          <w:i/>
          <w:iCs/>
          <w:lang w:val="en-GB"/>
        </w:rPr>
        <w:t>University</w:t>
      </w:r>
      <w:r>
        <w:t xml:space="preserve"> </w:t>
      </w:r>
      <w:r>
        <w:rPr>
          <w:rStyle w:val="5"/>
        </w:rPr>
        <w:t>of  Chicago Law Review</w:t>
      </w:r>
      <w:r>
        <w:t>- Vol. 33, (1966)  Iss. 3, Article 10.</w:t>
      </w:r>
      <w:r>
        <w:br w:type="textWrapping"/>
      </w:r>
    </w:p>
    <w:p w14:paraId="521CA307">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Internet Sources </w:t>
      </w:r>
    </w:p>
    <w:p w14:paraId="1C51B267">
      <w:pPr>
        <w:pStyle w:val="8"/>
        <w:jc w:val="both"/>
        <w:rPr>
          <w:rFonts w:ascii="Times New Roman" w:hAnsi="Times New Roman"/>
          <w:sz w:val="24"/>
          <w:szCs w:val="24"/>
        </w:rPr>
      </w:pPr>
      <w:r>
        <w:rPr>
          <w:rFonts w:ascii="Times New Roman" w:hAnsi="Times New Roman"/>
          <w:sz w:val="24"/>
          <w:szCs w:val="24"/>
        </w:rPr>
        <w:t>Benjamin Iverson, and others; “Practice Makes Perfect- Judge Experience and</w:t>
      </w:r>
    </w:p>
    <w:p w14:paraId="116143A8">
      <w:pPr>
        <w:pStyle w:val="8"/>
        <w:ind w:left="720"/>
        <w:jc w:val="both"/>
        <w:rPr>
          <w:rFonts w:ascii="Times New Roman" w:hAnsi="Times New Roman"/>
          <w:i/>
          <w:sz w:val="24"/>
          <w:szCs w:val="24"/>
        </w:rPr>
      </w:pPr>
      <w:r>
        <w:rPr>
          <w:rFonts w:ascii="Times New Roman" w:hAnsi="Times New Roman"/>
          <w:sz w:val="24"/>
          <w:szCs w:val="24"/>
        </w:rPr>
        <w:t xml:space="preserve">Bankruptcy Outcomes” (OBLB, 22rd December 2017). &lt; </w:t>
      </w:r>
      <w:r>
        <w:fldChar w:fldCharType="begin"/>
      </w:r>
      <w:r>
        <w:instrText xml:space="preserve"> HYPERLINK "https://www.law.ox.ac.uk/business-law-blog/blog/2017/12/practice-makes-perfect" </w:instrText>
      </w:r>
      <w:r>
        <w:fldChar w:fldCharType="separate"/>
      </w:r>
      <w:r>
        <w:rPr>
          <w:rStyle w:val="10"/>
          <w:rFonts w:ascii="Times New Roman" w:hAnsi="Times New Roman"/>
          <w:sz w:val="24"/>
          <w:szCs w:val="24"/>
        </w:rPr>
        <w:t>https-//www.law.ox.ac.uk/business-law-blog/blog/2017/12/practice-makes-perfect</w:t>
      </w:r>
      <w:r>
        <w:fldChar w:fldCharType="end"/>
      </w:r>
      <w:r>
        <w:rPr>
          <w:rFonts w:ascii="Times New Roman" w:hAnsi="Times New Roman"/>
          <w:sz w:val="24"/>
          <w:szCs w:val="24"/>
        </w:rPr>
        <w:t>&gt; accessed 8th October, 2023.</w:t>
      </w:r>
    </w:p>
    <w:p w14:paraId="3B31E2D5">
      <w:pPr>
        <w:spacing w:line="240" w:lineRule="auto"/>
        <w:ind w:left="720"/>
        <w:jc w:val="both"/>
        <w:rPr>
          <w:rFonts w:ascii="Times New Roman" w:hAnsi="Times New Roman" w:cs="Times New Roman"/>
          <w:sz w:val="24"/>
          <w:szCs w:val="24"/>
        </w:rPr>
      </w:pPr>
    </w:p>
    <w:p w14:paraId="47DA6082">
      <w:pPr>
        <w:spacing w:line="240" w:lineRule="auto"/>
        <w:jc w:val="both"/>
        <w:rPr>
          <w:rFonts w:ascii="Times New Roman" w:hAnsi="Times New Roman" w:cs="Times New Roman"/>
          <w:sz w:val="24"/>
          <w:szCs w:val="24"/>
        </w:rPr>
      </w:pPr>
    </w:p>
    <w:p w14:paraId="5982F4A2">
      <w:pPr>
        <w:spacing w:line="240" w:lineRule="auto"/>
        <w:jc w:val="both"/>
        <w:rPr>
          <w:rFonts w:ascii="Times New Roman" w:hAnsi="Times New Roman" w:cs="Times New Roman"/>
          <w:sz w:val="24"/>
          <w:szCs w:val="24"/>
        </w:rPr>
      </w:pPr>
      <w:r>
        <w:rPr>
          <w:rFonts w:ascii="Times New Roman" w:hAnsi="Times New Roman" w:cs="Times New Roman"/>
          <w:sz w:val="24"/>
          <w:szCs w:val="24"/>
        </w:rPr>
        <w:t>Bukola Akinbola and Enyinnaya Uwadi, “Antitrust as a Panacea for Economic</w:t>
      </w:r>
    </w:p>
    <w:p w14:paraId="048D45EF">
      <w:pPr>
        <w:spacing w:line="240" w:lineRule="auto"/>
        <w:ind w:left="720"/>
        <w:jc w:val="both"/>
        <w:rPr>
          <w:rFonts w:ascii="Times New Roman" w:hAnsi="Times New Roman" w:cs="Times New Roman"/>
          <w:sz w:val="24"/>
          <w:szCs w:val="24"/>
        </w:rPr>
      </w:pPr>
      <w:r>
        <w:rPr>
          <w:rFonts w:ascii="Times New Roman" w:hAnsi="Times New Roman" w:cs="Times New Roman"/>
          <w:sz w:val="24"/>
          <w:szCs w:val="24"/>
        </w:rPr>
        <w:t>Development,”</w:t>
      </w:r>
      <w:r>
        <w:rPr>
          <w:rFonts w:ascii="Times New Roman" w:hAnsi="Times New Roman" w:cs="Times New Roman"/>
          <w:i/>
          <w:sz w:val="24"/>
          <w:szCs w:val="24"/>
        </w:rPr>
        <w:t xml:space="preserve"> </w:t>
      </w:r>
      <w:r>
        <w:rPr>
          <w:rFonts w:ascii="Times New Roman" w:hAnsi="Times New Roman" w:cs="Times New Roman"/>
          <w:sz w:val="24"/>
          <w:szCs w:val="24"/>
        </w:rPr>
        <w:t>University of Ibadan Law Teachers Conference, 2016  &lt;</w:t>
      </w:r>
      <w:r>
        <w:t xml:space="preserve"> </w:t>
      </w:r>
      <w:r>
        <w:fldChar w:fldCharType="begin"/>
      </w:r>
      <w:r>
        <w:instrText xml:space="preserve"> HYPERLINK "https://dx.doi.org/10.2139/ssrn.3863955" </w:instrText>
      </w:r>
      <w:r>
        <w:fldChar w:fldCharType="separate"/>
      </w:r>
      <w:r>
        <w:rPr>
          <w:rStyle w:val="10"/>
          <w:rFonts w:ascii="Times New Roman" w:hAnsi="Times New Roman" w:cs="Times New Roman"/>
          <w:sz w:val="24"/>
          <w:szCs w:val="24"/>
        </w:rPr>
        <w:t>https://dx.doi.org/10.2139/ssrn.3863955</w:t>
      </w:r>
      <w:r>
        <w:fldChar w:fldCharType="end"/>
      </w:r>
      <w:r>
        <w:rPr>
          <w:rFonts w:ascii="Times New Roman" w:hAnsi="Times New Roman" w:cs="Times New Roman"/>
          <w:sz w:val="24"/>
          <w:szCs w:val="24"/>
        </w:rPr>
        <w:t>&gt; accessed 8th December, 2023.</w:t>
      </w:r>
    </w:p>
    <w:p w14:paraId="110B53DA">
      <w:pPr>
        <w:spacing w:line="240" w:lineRule="auto"/>
        <w:jc w:val="both"/>
        <w:rPr>
          <w:rFonts w:ascii="Times New Roman" w:hAnsi="Times New Roman" w:cs="Times New Roman"/>
          <w:sz w:val="24"/>
          <w:szCs w:val="24"/>
        </w:rPr>
      </w:pPr>
      <w:r>
        <w:rPr>
          <w:rFonts w:ascii="Times New Roman" w:hAnsi="Times New Roman" w:cs="Times New Roman"/>
          <w:sz w:val="24"/>
          <w:szCs w:val="24"/>
        </w:rPr>
        <w:t>Nnamdi Dimgba, “The Changing Landscape- Federal Competition and Protection</w:t>
      </w:r>
    </w:p>
    <w:p w14:paraId="168F2AE1">
      <w:pPr>
        <w:spacing w:line="24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Act” (Victoria Island Lagos, 2019) </w:t>
      </w:r>
      <w:r>
        <w:rPr>
          <w:rFonts w:ascii="Times New Roman" w:hAnsi="Times New Roman" w:cs="Times New Roman"/>
          <w:i/>
          <w:sz w:val="24"/>
          <w:szCs w:val="24"/>
        </w:rPr>
        <w:t xml:space="preserve">, </w:t>
      </w:r>
      <w:r>
        <w:rPr>
          <w:rFonts w:ascii="Times New Roman" w:hAnsi="Times New Roman" w:cs="Times New Roman"/>
          <w:sz w:val="24"/>
          <w:szCs w:val="24"/>
        </w:rPr>
        <w:t>&lt;</w:t>
      </w:r>
      <w:r>
        <w:rPr>
          <w:rFonts w:ascii="Times New Roman" w:hAnsi="Times New Roman" w:cs="Times New Roman"/>
          <w:i/>
          <w:sz w:val="24"/>
          <w:szCs w:val="24"/>
        </w:rPr>
        <w:t xml:space="preserve"> </w:t>
      </w:r>
      <w:r>
        <w:fldChar w:fldCharType="begin"/>
      </w:r>
      <w:r>
        <w:instrText xml:space="preserve"> HYPERLINK "https://jee.africa/wp-content/uploads/2019/07/Changing-Landscape-Federal-Competition-and-Consumer-Protection-Act.pdf" </w:instrText>
      </w:r>
      <w:r>
        <w:fldChar w:fldCharType="separate"/>
      </w:r>
      <w:r>
        <w:rPr>
          <w:rStyle w:val="10"/>
          <w:rFonts w:ascii="Times New Roman" w:hAnsi="Times New Roman" w:cs="Times New Roman"/>
          <w:sz w:val="24"/>
          <w:szCs w:val="24"/>
        </w:rPr>
        <w:t>https://jee.africa/wp-content/uploads/2019/07/Changing-Landscape-Federal-Competition-and-Consumer-Protection-Act.pdf</w:t>
      </w:r>
      <w:r>
        <w:fldChar w:fldCharType="end"/>
      </w:r>
      <w:r>
        <w:rPr>
          <w:rFonts w:ascii="Times New Roman" w:hAnsi="Times New Roman" w:cs="Times New Roman"/>
          <w:sz w:val="24"/>
          <w:szCs w:val="24"/>
        </w:rPr>
        <w:t>&gt; accessed 8th December, 2023.</w:t>
      </w:r>
    </w:p>
    <w:p w14:paraId="35D2788B">
      <w:pPr>
        <w:spacing w:line="240" w:lineRule="auto"/>
        <w:jc w:val="both"/>
        <w:rPr>
          <w:rFonts w:ascii="Times New Roman" w:hAnsi="Times New Roman" w:cs="Times New Roman"/>
          <w:bCs/>
          <w:i/>
          <w:color w:val="000000"/>
          <w:sz w:val="24"/>
          <w:szCs w:val="24"/>
        </w:rPr>
      </w:pPr>
      <w:r>
        <w:rPr>
          <w:rFonts w:ascii="Times New Roman" w:hAnsi="Times New Roman" w:cs="Times New Roman"/>
          <w:bCs/>
          <w:color w:val="000000"/>
          <w:sz w:val="24"/>
          <w:szCs w:val="24"/>
        </w:rPr>
        <w:t>Isiavwe o. Rosetta, “Competition Law in Nigeria as a Necessary Pillar for Trade Policy”</w:t>
      </w:r>
      <w:r>
        <w:rPr>
          <w:rFonts w:ascii="Times New Roman" w:hAnsi="Times New Roman" w:cs="Times New Roman"/>
          <w:bCs/>
          <w:i/>
          <w:color w:val="000000"/>
          <w:sz w:val="24"/>
          <w:szCs w:val="24"/>
        </w:rPr>
        <w:t xml:space="preserve">, </w:t>
      </w:r>
    </w:p>
    <w:p w14:paraId="0A833A68">
      <w:pPr>
        <w:spacing w:line="240" w:lineRule="auto"/>
        <w:ind w:left="720"/>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(University of Ibadan, 2015)</w:t>
      </w:r>
      <w:r>
        <w:rPr>
          <w:rFonts w:ascii="Times New Roman" w:hAnsi="Times New Roman" w:cs="Times New Roman"/>
          <w:bCs/>
          <w:i/>
          <w:color w:val="000000"/>
          <w:sz w:val="24"/>
          <w:szCs w:val="24"/>
        </w:rPr>
        <w:t>&lt;</w:t>
      </w:r>
      <w:r>
        <w:t xml:space="preserve"> </w:t>
      </w:r>
      <w:r>
        <w:fldChar w:fldCharType="begin"/>
      </w:r>
      <w:r>
        <w:instrText xml:space="preserve"> HYPERLINK "https://papers.ssrn.com/sol3/papers.cfm?abstract_id=2814933" </w:instrText>
      </w:r>
      <w:r>
        <w:fldChar w:fldCharType="separate"/>
      </w:r>
      <w:r>
        <w:rPr>
          <w:rStyle w:val="10"/>
          <w:rFonts w:ascii="Times New Roman" w:hAnsi="Times New Roman" w:cs="Times New Roman"/>
          <w:bCs/>
          <w:i/>
          <w:sz w:val="24"/>
          <w:szCs w:val="24"/>
        </w:rPr>
        <w:t>https://papers.ssrn.com/sol3/papers.cfm?abstract_id=2814933</w:t>
      </w:r>
      <w:r>
        <w:fldChar w:fldCharType="end"/>
      </w:r>
      <w:r>
        <w:rPr>
          <w:rFonts w:ascii="Times New Roman" w:hAnsi="Times New Roman" w:cs="Times New Roman"/>
          <w:bCs/>
          <w:i/>
          <w:color w:val="000000"/>
          <w:sz w:val="24"/>
          <w:szCs w:val="24"/>
        </w:rPr>
        <w:t xml:space="preserve">&gt; </w:t>
      </w:r>
      <w:r>
        <w:rPr>
          <w:rFonts w:ascii="Times New Roman" w:hAnsi="Times New Roman" w:cs="Times New Roman"/>
          <w:bCs/>
          <w:color w:val="000000"/>
          <w:sz w:val="24"/>
          <w:szCs w:val="24"/>
        </w:rPr>
        <w:t>accessed 8th December, 2023.</w:t>
      </w:r>
    </w:p>
    <w:p w14:paraId="3A843B74">
      <w:pPr>
        <w:spacing w:line="240" w:lineRule="auto"/>
        <w:jc w:val="both"/>
        <w:rPr>
          <w:rFonts w:ascii="Times New Roman" w:hAnsi="Times New Roman" w:cs="Times New Roman"/>
          <w:sz w:val="24"/>
          <w:szCs w:val="24"/>
        </w:rPr>
      </w:pPr>
    </w:p>
    <w:p w14:paraId="3F48D27E">
      <w:pPr>
        <w:pStyle w:val="8"/>
        <w:jc w:val="both"/>
        <w:rPr>
          <w:rFonts w:ascii="Times New Roman" w:hAnsi="Times New Roman" w:eastAsia="Calibri"/>
          <w:sz w:val="24"/>
          <w:szCs w:val="24"/>
        </w:rPr>
      </w:pPr>
      <w:r>
        <w:rPr>
          <w:rFonts w:ascii="Times New Roman" w:hAnsi="Times New Roman" w:eastAsia="Calibri"/>
          <w:sz w:val="24"/>
          <w:szCs w:val="24"/>
        </w:rPr>
        <w:t>--,Caveat legal, ”Understanding Competition Law in South Africa – A Quick Guide”</w:t>
      </w:r>
    </w:p>
    <w:p w14:paraId="72512570">
      <w:pPr>
        <w:pStyle w:val="8"/>
        <w:ind w:left="720"/>
        <w:jc w:val="both"/>
        <w:rPr>
          <w:rFonts w:ascii="Times New Roman" w:hAnsi="Times New Roman" w:eastAsia="Calibri"/>
          <w:sz w:val="24"/>
          <w:szCs w:val="24"/>
        </w:rPr>
      </w:pPr>
      <w:r>
        <w:rPr>
          <w:rFonts w:ascii="Times New Roman" w:hAnsi="Times New Roman" w:eastAsia="Calibri"/>
          <w:i/>
          <w:sz w:val="24"/>
          <w:szCs w:val="24"/>
        </w:rPr>
        <w:t>&lt;</w:t>
      </w:r>
      <w:r>
        <w:rPr>
          <w:rFonts w:ascii="Times New Roman" w:hAnsi="Times New Roman" w:eastAsia="Calibri"/>
          <w:sz w:val="24"/>
          <w:szCs w:val="24"/>
        </w:rPr>
        <w:t xml:space="preserve"> </w:t>
      </w:r>
      <w:r>
        <w:fldChar w:fldCharType="begin"/>
      </w:r>
      <w:r>
        <w:instrText xml:space="preserve"> HYPERLINK "https://www.caveatlegal.com/blog/competition-law-south-africa-guide/" </w:instrText>
      </w:r>
      <w:r>
        <w:fldChar w:fldCharType="separate"/>
      </w:r>
      <w:r>
        <w:rPr>
          <w:rStyle w:val="22"/>
          <w:rFonts w:ascii="Times New Roman" w:hAnsi="Times New Roman" w:eastAsia="Calibri" w:cs="Times New Roman"/>
          <w:sz w:val="24"/>
          <w:szCs w:val="24"/>
        </w:rPr>
        <w:t>Competition Law in South Africa - A Quick Guide (caveatlegal.com)</w:t>
      </w:r>
      <w:r>
        <w:fldChar w:fldCharType="end"/>
      </w:r>
      <w:r>
        <w:rPr>
          <w:rFonts w:ascii="Times New Roman" w:hAnsi="Times New Roman" w:eastAsia="Calibri"/>
          <w:sz w:val="24"/>
          <w:szCs w:val="24"/>
        </w:rPr>
        <w:t>&gt; Accessed 30th November, 2023.</w:t>
      </w:r>
    </w:p>
    <w:p w14:paraId="0EFB3D7A">
      <w:pPr>
        <w:spacing w:line="240" w:lineRule="auto"/>
        <w:jc w:val="both"/>
        <w:rPr>
          <w:rFonts w:ascii="Times New Roman" w:hAnsi="Times New Roman" w:cs="Times New Roman"/>
          <w:sz w:val="24"/>
          <w:szCs w:val="24"/>
        </w:rPr>
      </w:pPr>
    </w:p>
    <w:p w14:paraId="127BCA17">
      <w:pPr>
        <w:pStyle w:val="8"/>
        <w:jc w:val="both"/>
        <w:rPr>
          <w:rFonts w:ascii="Times New Roman" w:hAnsi="Times New Roman" w:eastAsia="Calibri"/>
          <w:sz w:val="24"/>
          <w:szCs w:val="24"/>
        </w:rPr>
      </w:pPr>
      <w:r>
        <w:rPr>
          <w:rFonts w:ascii="Times New Roman" w:hAnsi="Times New Roman"/>
          <w:sz w:val="24"/>
          <w:szCs w:val="24"/>
        </w:rPr>
        <w:t>--,&lt;</w:t>
      </w:r>
      <w:r>
        <w:rPr>
          <w:rFonts w:ascii="Times New Roman" w:hAnsi="Times New Roman"/>
          <w:sz w:val="24"/>
          <w:szCs w:val="24"/>
        </w:rPr>
        <w:fldChar w:fldCharType="begin"/>
      </w:r>
      <w:r>
        <w:rPr>
          <w:rFonts w:ascii="Times New Roman" w:hAnsi="Times New Roman"/>
          <w:sz w:val="24"/>
          <w:szCs w:val="24"/>
        </w:rPr>
        <w:instrText xml:space="preserve">HYPERLINK "https://punchng.com/nafdac-seals-contraband-tomato-paste-distribution-outlet-arrests-one/"</w:instrText>
      </w:r>
      <w:r>
        <w:rPr>
          <w:rFonts w:ascii="Times New Roman" w:hAnsi="Times New Roman"/>
          <w:sz w:val="24"/>
          <w:szCs w:val="24"/>
        </w:rPr>
        <w:fldChar w:fldCharType="separate"/>
      </w:r>
      <w:r>
        <w:rPr>
          <w:rStyle w:val="22"/>
          <w:rFonts w:ascii="Times New Roman" w:hAnsi="Times New Roman" w:eastAsia="Calibri" w:cs="Times New Roman"/>
          <w:sz w:val="24"/>
          <w:szCs w:val="24"/>
        </w:rPr>
        <w:t>https-//punchng.com/nafdac-seals-contraband-tomato-paste-distribution-outlet-arrests-one/</w:t>
      </w:r>
      <w:r>
        <w:rPr>
          <w:rFonts w:ascii="Times New Roman" w:hAnsi="Times New Roman"/>
          <w:sz w:val="24"/>
          <w:szCs w:val="24"/>
        </w:rPr>
        <w:fldChar w:fldCharType="end"/>
      </w:r>
      <w:r>
        <w:rPr>
          <w:rFonts w:ascii="Times New Roman" w:hAnsi="Times New Roman"/>
          <w:sz w:val="24"/>
          <w:szCs w:val="24"/>
        </w:rPr>
        <w:t>&gt;</w:t>
      </w:r>
      <w:r>
        <w:rPr>
          <w:rFonts w:ascii="Times New Roman" w:hAnsi="Times New Roman" w:eastAsia="Calibri"/>
          <w:sz w:val="24"/>
          <w:szCs w:val="24"/>
        </w:rPr>
        <w:t xml:space="preserve"> accessed 28</w:t>
      </w:r>
      <w:r>
        <w:rPr>
          <w:rFonts w:ascii="Times New Roman" w:hAnsi="Times New Roman" w:eastAsia="Calibri"/>
          <w:sz w:val="24"/>
          <w:szCs w:val="24"/>
          <w:vertAlign w:val="superscript"/>
        </w:rPr>
        <w:t>th</w:t>
      </w:r>
      <w:r>
        <w:rPr>
          <w:rFonts w:ascii="Times New Roman" w:hAnsi="Times New Roman" w:eastAsia="Calibri"/>
          <w:sz w:val="24"/>
          <w:szCs w:val="24"/>
        </w:rPr>
        <w:t xml:space="preserve"> September, 2023.</w:t>
      </w:r>
    </w:p>
    <w:p w14:paraId="7BE0B852">
      <w:pPr>
        <w:pStyle w:val="8"/>
        <w:jc w:val="both"/>
        <w:rPr>
          <w:rFonts w:ascii="Times New Roman" w:hAnsi="Times New Roman" w:eastAsia="Calibri"/>
          <w:sz w:val="24"/>
          <w:szCs w:val="24"/>
        </w:rPr>
      </w:pPr>
      <w:r>
        <w:rPr>
          <w:rFonts w:ascii="Times New Roman" w:hAnsi="Times New Roman" w:eastAsia="Calibri"/>
          <w:sz w:val="24"/>
          <w:szCs w:val="24"/>
        </w:rPr>
        <w:t>--,FCCPC homepage, &lt;</w:t>
      </w:r>
      <w:r>
        <w:fldChar w:fldCharType="begin"/>
      </w:r>
      <w:r>
        <w:instrText xml:space="preserve"> HYPERLINK "https://fccpc.gov.ng/resources-library/fccpa/" </w:instrText>
      </w:r>
      <w:r>
        <w:fldChar w:fldCharType="separate"/>
      </w:r>
      <w:r>
        <w:rPr>
          <w:rStyle w:val="22"/>
          <w:rFonts w:ascii="Times New Roman" w:hAnsi="Times New Roman" w:eastAsia="Calibri" w:cs="Times New Roman"/>
          <w:sz w:val="24"/>
          <w:szCs w:val="24"/>
        </w:rPr>
        <w:t>https-//fccpc.gov.ng/resources-library/fccpa/</w:t>
      </w:r>
      <w:r>
        <w:fldChar w:fldCharType="end"/>
      </w:r>
      <w:r>
        <w:rPr>
          <w:rFonts w:ascii="Times New Roman" w:hAnsi="Times New Roman" w:eastAsia="Calibri"/>
          <w:sz w:val="24"/>
          <w:szCs w:val="24"/>
        </w:rPr>
        <w:t>&gt; Accessed 28</w:t>
      </w:r>
      <w:r>
        <w:rPr>
          <w:rFonts w:ascii="Times New Roman" w:hAnsi="Times New Roman" w:eastAsia="Calibri"/>
          <w:sz w:val="24"/>
          <w:szCs w:val="24"/>
          <w:vertAlign w:val="superscript"/>
        </w:rPr>
        <w:t>th</w:t>
      </w:r>
      <w:r>
        <w:rPr>
          <w:rFonts w:ascii="Times New Roman" w:hAnsi="Times New Roman" w:eastAsia="Calibri"/>
          <w:sz w:val="24"/>
          <w:szCs w:val="24"/>
        </w:rPr>
        <w:t xml:space="preserve"> September 2023.</w:t>
      </w:r>
    </w:p>
    <w:p w14:paraId="568681DD">
      <w:pPr>
        <w:pStyle w:val="8"/>
        <w:jc w:val="both"/>
        <w:rPr>
          <w:rFonts w:ascii="Times New Roman" w:hAnsi="Times New Roman" w:eastAsia="Calibri"/>
          <w:sz w:val="24"/>
          <w:szCs w:val="24"/>
        </w:rPr>
      </w:pPr>
      <w:r>
        <w:rPr>
          <w:rFonts w:ascii="Times New Roman" w:hAnsi="Times New Roman" w:eastAsia="Calibri"/>
          <w:sz w:val="24"/>
          <w:szCs w:val="24"/>
        </w:rPr>
        <w:t>--,See also, &lt;</w:t>
      </w:r>
      <w:r>
        <w:fldChar w:fldCharType="begin"/>
      </w:r>
      <w:r>
        <w:instrText xml:space="preserve"> HYPERLINK "https://www.doa-law.com/wp-content/uploads/2022/06/Restrictive_Agreement_2.pdf" </w:instrText>
      </w:r>
      <w:r>
        <w:fldChar w:fldCharType="separate"/>
      </w:r>
      <w:r>
        <w:rPr>
          <w:rStyle w:val="22"/>
          <w:rFonts w:ascii="Times New Roman" w:hAnsi="Times New Roman" w:eastAsia="Calibri" w:cs="Times New Roman"/>
          <w:sz w:val="24"/>
          <w:szCs w:val="24"/>
        </w:rPr>
        <w:t>https-//www.doa-law.com/wp-content/uploads/2022/06/Restrictive_Agreement_2.pdf</w:t>
      </w:r>
      <w:r>
        <w:fldChar w:fldCharType="end"/>
      </w:r>
      <w:r>
        <w:rPr>
          <w:rFonts w:ascii="Times New Roman" w:hAnsi="Times New Roman" w:eastAsia="Calibri"/>
          <w:sz w:val="24"/>
          <w:szCs w:val="24"/>
        </w:rPr>
        <w:t xml:space="preserve"> &gt;Accessed 1st December, 2023.</w:t>
      </w:r>
    </w:p>
    <w:p w14:paraId="7592AD27">
      <w:pPr>
        <w:pStyle w:val="8"/>
        <w:jc w:val="both"/>
        <w:rPr>
          <w:rFonts w:ascii="Times New Roman" w:hAnsi="Times New Roman" w:eastAsia="Calibri"/>
          <w:sz w:val="24"/>
          <w:szCs w:val="24"/>
        </w:rPr>
      </w:pPr>
    </w:p>
    <w:p w14:paraId="1F929BFE">
      <w:pPr>
        <w:spacing w:line="240" w:lineRule="auto"/>
        <w:jc w:val="both"/>
        <w:rPr>
          <w:rFonts w:ascii="Times New Roman" w:hAnsi="Times New Roman" w:cs="Times New Roman"/>
          <w:sz w:val="24"/>
          <w:szCs w:val="24"/>
        </w:rPr>
      </w:pPr>
      <w:r>
        <w:rPr>
          <w:rFonts w:ascii="Times New Roman" w:hAnsi="Times New Roman" w:cs="Times New Roman"/>
          <w:sz w:val="24"/>
          <w:szCs w:val="24"/>
        </w:rPr>
        <w:t>--,&lt;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HYPERLINK "https://ccpt.gov.ng/ova_sev/prohibition-of-monopolies/"</w:instrText>
      </w:r>
      <w:r>
        <w:rPr>
          <w:rFonts w:ascii="Times New Roman" w:hAnsi="Times New Roman" w:cs="Times New Roman"/>
          <w:sz w:val="24"/>
          <w:szCs w:val="24"/>
        </w:rPr>
        <w:fldChar w:fldCharType="separate"/>
      </w:r>
      <w:r>
        <w:rPr>
          <w:rStyle w:val="22"/>
          <w:rFonts w:ascii="Times New Roman" w:hAnsi="Times New Roman" w:cs="Times New Roman"/>
          <w:sz w:val="24"/>
          <w:szCs w:val="24"/>
        </w:rPr>
        <w:t>https-//ccpt.gov.ng/ova_sev/prohibition-of-monopolies/</w:t>
      </w:r>
      <w:r>
        <w:rPr>
          <w:rFonts w:ascii="Times New Roman" w:hAnsi="Times New Roman" w:cs="Times New Roman"/>
          <w:sz w:val="24"/>
          <w:szCs w:val="24"/>
        </w:rPr>
        <w:fldChar w:fldCharType="end"/>
      </w:r>
      <w:r>
        <w:rPr>
          <w:rFonts w:ascii="Times New Roman" w:hAnsi="Times New Roman" w:cs="Times New Roman"/>
          <w:sz w:val="24"/>
          <w:szCs w:val="24"/>
        </w:rPr>
        <w:t>&gt; accessed 1st December, 2023.</w:t>
      </w:r>
    </w:p>
    <w:p w14:paraId="3DDE8151">
      <w:pPr>
        <w:pStyle w:val="8"/>
        <w:jc w:val="both"/>
        <w:rPr>
          <w:rFonts w:ascii="Times New Roman" w:hAnsi="Times New Roman" w:eastAsia="Calibri"/>
          <w:sz w:val="24"/>
          <w:szCs w:val="24"/>
        </w:rPr>
      </w:pPr>
      <w:r>
        <w:rPr>
          <w:rFonts w:ascii="Times New Roman" w:hAnsi="Times New Roman"/>
          <w:sz w:val="24"/>
          <w:szCs w:val="24"/>
        </w:rPr>
        <w:t>--,&lt;</w:t>
      </w:r>
      <w:r>
        <w:rPr>
          <w:rFonts w:ascii="Times New Roman" w:hAnsi="Times New Roman"/>
          <w:sz w:val="24"/>
          <w:szCs w:val="24"/>
        </w:rPr>
        <w:fldChar w:fldCharType="begin"/>
      </w:r>
      <w:r>
        <w:rPr>
          <w:rFonts w:ascii="Times New Roman" w:hAnsi="Times New Roman"/>
          <w:sz w:val="24"/>
          <w:szCs w:val="24"/>
        </w:rPr>
        <w:instrText xml:space="preserve">HYPERLINK "https://assets.kpmg.com/content/dam/kpmg/ng/pdf/tax/ng-Federal-Competition-and-Consumer-Protection-Act.pdf"</w:instrText>
      </w:r>
      <w:r>
        <w:rPr>
          <w:rFonts w:ascii="Times New Roman" w:hAnsi="Times New Roman"/>
          <w:sz w:val="24"/>
          <w:szCs w:val="24"/>
        </w:rPr>
        <w:fldChar w:fldCharType="separate"/>
      </w:r>
      <w:r>
        <w:rPr>
          <w:rStyle w:val="22"/>
          <w:rFonts w:ascii="Times New Roman" w:hAnsi="Times New Roman" w:eastAsia="Calibri" w:cs="Times New Roman"/>
          <w:sz w:val="24"/>
          <w:szCs w:val="24"/>
        </w:rPr>
        <w:t>https-//assets.kpmg.com/content/dam/kpmg/ng/pdf/tax/ng-Federal-Competition-and-Consumer-Protection-Act.pdf</w:t>
      </w:r>
      <w:r>
        <w:rPr>
          <w:rFonts w:ascii="Times New Roman" w:hAnsi="Times New Roman"/>
          <w:sz w:val="24"/>
          <w:szCs w:val="24"/>
        </w:rPr>
        <w:fldChar w:fldCharType="end"/>
      </w:r>
      <w:r>
        <w:rPr>
          <w:rFonts w:ascii="Times New Roman" w:hAnsi="Times New Roman" w:eastAsia="Calibri"/>
          <w:sz w:val="24"/>
          <w:szCs w:val="24"/>
        </w:rPr>
        <w:t>&gt;accessed 1st December, 2023.</w:t>
      </w:r>
    </w:p>
    <w:p w14:paraId="243034FB">
      <w:pPr>
        <w:spacing w:line="240" w:lineRule="auto"/>
        <w:jc w:val="both"/>
        <w:rPr>
          <w:rFonts w:ascii="Times New Roman" w:hAnsi="Times New Roman" w:cs="Times New Roman"/>
          <w:sz w:val="24"/>
          <w:szCs w:val="24"/>
        </w:rPr>
      </w:pPr>
    </w:p>
    <w:p w14:paraId="30BFD9A6">
      <w:pPr>
        <w:spacing w:line="240" w:lineRule="auto"/>
        <w:jc w:val="both"/>
        <w:rPr>
          <w:rFonts w:ascii="Times New Roman" w:hAnsi="Times New Roman" w:cs="Times New Roman"/>
          <w:sz w:val="24"/>
          <w:szCs w:val="24"/>
        </w:rPr>
      </w:pPr>
      <w:r>
        <w:rPr>
          <w:rFonts w:ascii="Times New Roman" w:hAnsi="Times New Roman" w:cs="Times New Roman"/>
          <w:sz w:val="24"/>
          <w:szCs w:val="24"/>
        </w:rPr>
        <w:t>--,&lt;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HYPERLINK "https://study.com/academy/lesson/five-major-consumer-rights.html"</w:instrText>
      </w:r>
      <w:r>
        <w:rPr>
          <w:rFonts w:ascii="Times New Roman" w:hAnsi="Times New Roman" w:cs="Times New Roman"/>
          <w:sz w:val="24"/>
          <w:szCs w:val="24"/>
        </w:rPr>
        <w:fldChar w:fldCharType="separate"/>
      </w:r>
      <w:r>
        <w:rPr>
          <w:rStyle w:val="22"/>
          <w:rFonts w:ascii="Times New Roman" w:hAnsi="Times New Roman" w:cs="Times New Roman"/>
          <w:sz w:val="24"/>
          <w:szCs w:val="24"/>
        </w:rPr>
        <w:t>https-//study.com/academy/lesson/five-major-consumer-rights.html</w:t>
      </w:r>
      <w:r>
        <w:rPr>
          <w:rFonts w:ascii="Times New Roman" w:hAnsi="Times New Roman" w:cs="Times New Roman"/>
          <w:sz w:val="24"/>
          <w:szCs w:val="24"/>
        </w:rPr>
        <w:fldChar w:fldCharType="end"/>
      </w:r>
      <w:r>
        <w:rPr>
          <w:rFonts w:ascii="Times New Roman" w:hAnsi="Times New Roman" w:cs="Times New Roman"/>
          <w:sz w:val="24"/>
          <w:szCs w:val="24"/>
        </w:rPr>
        <w:t>&gt; accessed 1st December, 2023.</w:t>
      </w:r>
    </w:p>
    <w:p w14:paraId="40797023">
      <w:pPr>
        <w:pStyle w:val="8"/>
        <w:jc w:val="both"/>
        <w:rPr>
          <w:rFonts w:ascii="Times New Roman" w:hAnsi="Times New Roman" w:eastAsia="Calibri"/>
          <w:sz w:val="24"/>
          <w:szCs w:val="24"/>
        </w:rPr>
      </w:pPr>
      <w:r>
        <w:rPr>
          <w:rFonts w:ascii="Times New Roman" w:hAnsi="Times New Roman" w:eastAsia="Calibri"/>
          <w:sz w:val="24"/>
          <w:szCs w:val="24"/>
        </w:rPr>
        <w:t>--,&lt;</w:t>
      </w:r>
      <w:r>
        <w:rPr>
          <w:rFonts w:ascii="Times New Roman" w:hAnsi="Times New Roman"/>
          <w:sz w:val="24"/>
          <w:szCs w:val="24"/>
        </w:rPr>
        <w:fldChar w:fldCharType="begin"/>
      </w:r>
      <w:r>
        <w:rPr>
          <w:rFonts w:ascii="Times New Roman" w:hAnsi="Times New Roman"/>
          <w:sz w:val="24"/>
          <w:szCs w:val="24"/>
        </w:rPr>
        <w:instrText xml:space="preserve">HYPERLINK "https://www.afronomicslaw.org/2019/09/25/the-nigerian-federal-competition-and-competition-protection-act-2019-lessons-from-south-africa"</w:instrText>
      </w:r>
      <w:r>
        <w:rPr>
          <w:rFonts w:ascii="Times New Roman" w:hAnsi="Times New Roman"/>
          <w:sz w:val="24"/>
          <w:szCs w:val="24"/>
        </w:rPr>
        <w:fldChar w:fldCharType="separate"/>
      </w:r>
      <w:r>
        <w:rPr>
          <w:rStyle w:val="22"/>
          <w:rFonts w:ascii="Times New Roman" w:hAnsi="Times New Roman" w:eastAsia="Calibri" w:cs="Times New Roman"/>
          <w:sz w:val="24"/>
          <w:szCs w:val="24"/>
        </w:rPr>
        <w:t>https-//www.afronomicslaw.org/2019/09/25/the-nigerian-federal-competition-and-competition-protection-act-2019-lessons-from-south-africa</w:t>
      </w:r>
      <w:r>
        <w:rPr>
          <w:rFonts w:ascii="Times New Roman" w:hAnsi="Times New Roman"/>
          <w:sz w:val="24"/>
          <w:szCs w:val="24"/>
        </w:rPr>
        <w:fldChar w:fldCharType="end"/>
      </w:r>
      <w:r>
        <w:rPr>
          <w:rFonts w:ascii="Times New Roman" w:hAnsi="Times New Roman" w:eastAsia="Calibri"/>
          <w:sz w:val="24"/>
          <w:szCs w:val="24"/>
        </w:rPr>
        <w:t>&gt; accessed 29th September, 2023.</w:t>
      </w:r>
    </w:p>
    <w:p w14:paraId="5B34CD73">
      <w:pPr>
        <w:spacing w:line="240" w:lineRule="auto"/>
        <w:jc w:val="both"/>
        <w:rPr>
          <w:rFonts w:ascii="Times New Roman" w:hAnsi="Times New Roman" w:cs="Times New Roman"/>
          <w:sz w:val="24"/>
          <w:szCs w:val="24"/>
        </w:rPr>
      </w:pPr>
    </w:p>
    <w:p w14:paraId="6D1C5963">
      <w:pPr>
        <w:pStyle w:val="8"/>
        <w:jc w:val="both"/>
        <w:rPr>
          <w:rFonts w:ascii="Times New Roman" w:hAnsi="Times New Roman" w:eastAsia="Calibri"/>
          <w:sz w:val="24"/>
          <w:szCs w:val="24"/>
        </w:rPr>
      </w:pPr>
      <w:r>
        <w:rPr>
          <w:rFonts w:ascii="Times New Roman" w:hAnsi="Times New Roman"/>
          <w:sz w:val="24"/>
          <w:szCs w:val="24"/>
        </w:rPr>
        <w:t>--,&lt;</w:t>
      </w:r>
      <w:r>
        <w:rPr>
          <w:rStyle w:val="22"/>
          <w:rFonts w:ascii="Times New Roman" w:hAnsi="Times New Roman" w:eastAsia="Calibri" w:cs="Times New Roman"/>
          <w:sz w:val="24"/>
          <w:szCs w:val="24"/>
        </w:rPr>
        <w:fldChar w:fldCharType="begin"/>
      </w:r>
      <w:r>
        <w:rPr>
          <w:rStyle w:val="22"/>
          <w:rFonts w:ascii="Times New Roman" w:hAnsi="Times New Roman" w:eastAsia="Calibri" w:cs="Times New Roman"/>
          <w:sz w:val="24"/>
          <w:szCs w:val="24"/>
        </w:rPr>
        <w:instrText xml:space="preserve"> HYPERLINK "https://ccpt.gov.ng/" </w:instrText>
      </w:r>
      <w:r>
        <w:rPr>
          <w:rStyle w:val="22"/>
          <w:rFonts w:ascii="Times New Roman" w:hAnsi="Times New Roman" w:eastAsia="Calibri" w:cs="Times New Roman"/>
          <w:sz w:val="24"/>
          <w:szCs w:val="24"/>
        </w:rPr>
        <w:fldChar w:fldCharType="separate"/>
      </w:r>
      <w:r>
        <w:rPr>
          <w:rStyle w:val="10"/>
          <w:rFonts w:ascii="Times New Roman" w:hAnsi="Times New Roman" w:eastAsia="Calibri"/>
          <w:sz w:val="24"/>
          <w:szCs w:val="24"/>
        </w:rPr>
        <w:t>https-//ccpt.gov.ng/</w:t>
      </w:r>
      <w:r>
        <w:rPr>
          <w:rStyle w:val="22"/>
          <w:rFonts w:ascii="Times New Roman" w:hAnsi="Times New Roman" w:eastAsia="Calibri" w:cs="Times New Roman"/>
          <w:sz w:val="24"/>
          <w:szCs w:val="24"/>
        </w:rPr>
        <w:fldChar w:fldCharType="end"/>
      </w:r>
      <w:r>
        <w:rPr>
          <w:rStyle w:val="22"/>
          <w:rFonts w:ascii="Times New Roman" w:hAnsi="Times New Roman" w:eastAsia="Calibri" w:cs="Times New Roman"/>
          <w:sz w:val="24"/>
          <w:szCs w:val="24"/>
        </w:rPr>
        <w:t>&gt;</w:t>
      </w:r>
      <w:r>
        <w:rPr>
          <w:rFonts w:ascii="Times New Roman" w:hAnsi="Times New Roman" w:eastAsia="Calibri"/>
          <w:sz w:val="24"/>
          <w:szCs w:val="24"/>
        </w:rPr>
        <w:t xml:space="preserve"> accessed 30th December, 2023.</w:t>
      </w:r>
    </w:p>
    <w:p w14:paraId="65477617">
      <w:pPr>
        <w:spacing w:line="240" w:lineRule="auto"/>
        <w:jc w:val="both"/>
        <w:rPr>
          <w:rFonts w:ascii="Times New Roman" w:hAnsi="Times New Roman" w:cs="Times New Roman"/>
          <w:sz w:val="24"/>
          <w:szCs w:val="24"/>
        </w:rPr>
      </w:pPr>
    </w:p>
    <w:p w14:paraId="30C25F95">
      <w:pPr>
        <w:jc w:val="both"/>
        <w:rPr>
          <w:rFonts w:ascii="Times New Roman" w:hAnsi="Times New Roman" w:eastAsia="Times New Roman" w:cs="Times New Roman"/>
          <w:sz w:val="24"/>
          <w:szCs w:val="24"/>
        </w:rPr>
      </w:pPr>
      <w:r>
        <w:rPr>
          <w:rFonts w:ascii="Times New Roman" w:hAnsi="Times New Roman" w:cs="Times New Roman"/>
          <w:bCs/>
          <w:color w:val="000000"/>
          <w:sz w:val="24"/>
          <w:szCs w:val="24"/>
        </w:rPr>
        <w:t xml:space="preserve">--,&lt; </w:t>
      </w:r>
      <w:r>
        <w:fldChar w:fldCharType="begin"/>
      </w:r>
      <w:r>
        <w:instrText xml:space="preserve"> HYPERLINK "https://papers.ssrn.com/sol3/papers.cfm?abstract_id=2814933" </w:instrText>
      </w:r>
      <w:r>
        <w:fldChar w:fldCharType="separate"/>
      </w:r>
      <w:r>
        <w:rPr>
          <w:rStyle w:val="23"/>
          <w:rFonts w:ascii="Times New Roman" w:hAnsi="Times New Roman" w:cs="Times New Roman"/>
          <w:sz w:val="24"/>
          <w:szCs w:val="24"/>
        </w:rPr>
        <w:t>Competition Law in Nigeria As a Necessary Pillar for Trade Policy by Rosetta Isiavwe -- SSRN</w:t>
      </w:r>
      <w:r>
        <w:fldChar w:fldCharType="end"/>
      </w:r>
      <w:r>
        <w:rPr>
          <w:rFonts w:ascii="Times New Roman" w:hAnsi="Times New Roman" w:cs="Times New Roman"/>
          <w:sz w:val="24"/>
          <w:szCs w:val="24"/>
        </w:rPr>
        <w:t>&gt; Accessed 1st December, 2023.</w:t>
      </w:r>
    </w:p>
    <w:p w14:paraId="4FE85A06">
      <w:pPr>
        <w:pStyle w:val="8"/>
        <w:spacing w:line="276" w:lineRule="auto"/>
        <w:jc w:val="both"/>
        <w:rPr>
          <w:rFonts w:ascii="Times New Roman" w:hAnsi="Times New Roman" w:eastAsia="Calibri"/>
          <w:sz w:val="24"/>
          <w:szCs w:val="24"/>
        </w:rPr>
      </w:pPr>
      <w:r>
        <w:rPr>
          <w:rFonts w:ascii="Times New Roman" w:hAnsi="Times New Roman" w:eastAsia="Calibri"/>
          <w:sz w:val="24"/>
          <w:szCs w:val="24"/>
        </w:rPr>
        <w:t xml:space="preserve">--,&lt; </w:t>
      </w:r>
      <w:r>
        <w:fldChar w:fldCharType="begin"/>
      </w:r>
      <w:r>
        <w:instrText xml:space="preserve"> HYPERLINK "https://www.rba.gov.au/publications/rdp/1986/pdf/rdp8607.pdf" </w:instrText>
      </w:r>
      <w:r>
        <w:fldChar w:fldCharType="separate"/>
      </w:r>
      <w:r>
        <w:rPr>
          <w:rStyle w:val="23"/>
          <w:rFonts w:ascii="Times New Roman" w:hAnsi="Times New Roman" w:eastAsia="Calibri" w:cs="Times New Roman"/>
          <w:sz w:val="24"/>
          <w:szCs w:val="24"/>
        </w:rPr>
        <w:t>https-//www.rba.gov.au/publications/rdp/1986/pdf/rdp8607.pdf</w:t>
      </w:r>
      <w:r>
        <w:fldChar w:fldCharType="end"/>
      </w:r>
      <w:r>
        <w:rPr>
          <w:rFonts w:ascii="Times New Roman" w:hAnsi="Times New Roman" w:eastAsia="Calibri"/>
          <w:sz w:val="24"/>
          <w:szCs w:val="24"/>
        </w:rPr>
        <w:t xml:space="preserve"> &gt; accessed 1st December, 2023.</w:t>
      </w:r>
    </w:p>
    <w:p w14:paraId="0DD071D8">
      <w:pPr>
        <w:pStyle w:val="8"/>
        <w:spacing w:line="276" w:lineRule="auto"/>
        <w:jc w:val="both"/>
        <w:rPr>
          <w:rFonts w:ascii="Times New Roman" w:hAnsi="Times New Roman" w:eastAsia="Calibri"/>
          <w:sz w:val="24"/>
          <w:szCs w:val="24"/>
        </w:rPr>
      </w:pPr>
      <w:r>
        <w:rPr>
          <w:rFonts w:ascii="Times New Roman" w:hAnsi="Times New Roman" w:eastAsia="Calibri"/>
          <w:sz w:val="24"/>
          <w:szCs w:val="24"/>
        </w:rPr>
        <w:t xml:space="preserve"> --,&lt;</w:t>
      </w:r>
      <w:r>
        <w:fldChar w:fldCharType="begin"/>
      </w:r>
      <w:r>
        <w:instrText xml:space="preserve"> HYPERLINK "file:/C:/Users/Hp/Documents/CHAPTER%20TWO.docx" \l "aoh=17014281593738&amp;referrer=https%3A%2F%2Fwww.google.com&amp;_tf=From%20%251%24s&amp;ampshare=https%3A%2F%2Fwww.lawyersclubindia.com%2Farticles%2Ftheories-of-consumer-protection-and-its-implications-14914.asp" </w:instrText>
      </w:r>
      <w:r>
        <w:fldChar w:fldCharType="separate"/>
      </w:r>
      <w:r>
        <w:rPr>
          <w:rStyle w:val="23"/>
          <w:rFonts w:ascii="Times New Roman" w:hAnsi="Times New Roman" w:eastAsia="Calibri" w:cs="Times New Roman"/>
          <w:sz w:val="24"/>
          <w:szCs w:val="24"/>
        </w:rPr>
        <w:t>https-//www-lawyersclubindia-com.cdn.ampproject.org/v/s/www.lawyersclubindia.com/amp/articles/theories-of-consumer-protection-and-its-implications-14914.asp?amp_js_v=a6&amp;_gsa=1&amp;usqp=mq331AQIUAKwASCAAgM%3D#aoh=17014281593738&amp;referrer=https%3A%2F%2Fwww.google.com&amp;_tf=From%20%251%24s&amp;ampshare=https%3A%2F%2Fwww.lawyersclubindia.com%2Farticles%2Ftheories-of-consumer-protection-and-its-implications-14914.asp</w:t>
      </w:r>
      <w:r>
        <w:fldChar w:fldCharType="end"/>
      </w:r>
      <w:r>
        <w:rPr>
          <w:rFonts w:ascii="Times New Roman" w:hAnsi="Times New Roman"/>
          <w:sz w:val="24"/>
          <w:szCs w:val="24"/>
        </w:rPr>
        <w:t>&gt;</w:t>
      </w:r>
      <w:r>
        <w:rPr>
          <w:rFonts w:ascii="Times New Roman" w:hAnsi="Times New Roman" w:eastAsia="Calibri"/>
          <w:sz w:val="24"/>
          <w:szCs w:val="24"/>
        </w:rPr>
        <w:t xml:space="preserve"> accessed 1st December, 2023.</w:t>
      </w:r>
    </w:p>
    <w:p w14:paraId="1BEDE3AB">
      <w:pPr>
        <w:pStyle w:val="8"/>
        <w:spacing w:line="276" w:lineRule="auto"/>
        <w:jc w:val="both"/>
        <w:rPr>
          <w:rFonts w:ascii="Times New Roman" w:hAnsi="Times New Roman" w:eastAsia="Calibri"/>
          <w:sz w:val="24"/>
          <w:szCs w:val="24"/>
        </w:rPr>
      </w:pPr>
      <w:r>
        <w:rPr>
          <w:rFonts w:ascii="Times New Roman" w:hAnsi="Times New Roman" w:eastAsia="Calibri"/>
          <w:sz w:val="24"/>
          <w:szCs w:val="24"/>
        </w:rPr>
        <w:t xml:space="preserve"> --,&lt; </w:t>
      </w:r>
      <w:r>
        <w:fldChar w:fldCharType="begin"/>
      </w:r>
      <w:r>
        <w:instrText xml:space="preserve"> HYPERLINK "https://chicagounbound.uchicago.edu/cgi/viewcontent.cgi?article=3484&amp;context=uclrev" </w:instrText>
      </w:r>
      <w:r>
        <w:fldChar w:fldCharType="separate"/>
      </w:r>
      <w:r>
        <w:rPr>
          <w:rStyle w:val="23"/>
          <w:rFonts w:ascii="Times New Roman" w:hAnsi="Times New Roman" w:eastAsia="Calibri" w:cs="Times New Roman"/>
          <w:sz w:val="24"/>
          <w:szCs w:val="24"/>
        </w:rPr>
        <w:t>https-//chicagounbound.uchicago.edu/cgi/viewcontent.cgi?article=3484&amp;context=uclrev</w:t>
      </w:r>
      <w:r>
        <w:fldChar w:fldCharType="end"/>
      </w:r>
      <w:r>
        <w:rPr>
          <w:rFonts w:ascii="Times New Roman" w:hAnsi="Times New Roman" w:eastAsia="Calibri"/>
          <w:sz w:val="24"/>
          <w:szCs w:val="24"/>
        </w:rPr>
        <w:t>&gt; Accessed 1st December, 2023.</w:t>
      </w:r>
    </w:p>
    <w:p w14:paraId="6B80C2AD">
      <w:pPr>
        <w:pStyle w:val="8"/>
        <w:spacing w:line="276" w:lineRule="auto"/>
        <w:jc w:val="both"/>
        <w:rPr>
          <w:rFonts w:ascii="Times New Roman" w:hAnsi="Times New Roman" w:eastAsia="Calibri"/>
          <w:sz w:val="24"/>
          <w:szCs w:val="24"/>
        </w:rPr>
      </w:pPr>
      <w:r>
        <w:rPr>
          <w:rFonts w:ascii="Times New Roman" w:hAnsi="Times New Roman"/>
          <w:sz w:val="24"/>
          <w:szCs w:val="24"/>
        </w:rPr>
        <w:t>--,&lt;</w:t>
      </w:r>
      <w:r>
        <w:rPr>
          <w:rFonts w:ascii="Times New Roman" w:hAnsi="Times New Roman"/>
          <w:sz w:val="24"/>
          <w:szCs w:val="24"/>
        </w:rPr>
        <w:fldChar w:fldCharType="begin"/>
      </w:r>
      <w:r>
        <w:rPr>
          <w:rFonts w:ascii="Times New Roman" w:hAnsi="Times New Roman"/>
          <w:sz w:val="24"/>
          <w:szCs w:val="24"/>
        </w:rPr>
        <w:instrText xml:space="preserve">HYPERLINK "https://open.lib.umn.edu/principleseconomics/chapter/9-1-perfect-competition-a-model/"</w:instrText>
      </w:r>
      <w:r>
        <w:rPr>
          <w:rFonts w:ascii="Times New Roman" w:hAnsi="Times New Roman"/>
          <w:sz w:val="24"/>
          <w:szCs w:val="24"/>
        </w:rPr>
        <w:fldChar w:fldCharType="separate"/>
      </w:r>
      <w:r>
        <w:rPr>
          <w:rStyle w:val="23"/>
          <w:rFonts w:ascii="Times New Roman" w:hAnsi="Times New Roman" w:eastAsia="Calibri" w:cs="Times New Roman"/>
          <w:sz w:val="24"/>
          <w:szCs w:val="24"/>
        </w:rPr>
        <w:t>https-//open.lib.umn.edu/principleseconomics/chapter/9-1-perfect-competition-a-model/</w:t>
      </w:r>
      <w:r>
        <w:rPr>
          <w:rFonts w:ascii="Times New Roman" w:hAnsi="Times New Roman"/>
          <w:sz w:val="24"/>
          <w:szCs w:val="24"/>
        </w:rPr>
        <w:fldChar w:fldCharType="end"/>
      </w:r>
      <w:r>
        <w:rPr>
          <w:rFonts w:ascii="Times New Roman" w:hAnsi="Times New Roman" w:eastAsia="Calibri"/>
          <w:sz w:val="24"/>
          <w:szCs w:val="24"/>
        </w:rPr>
        <w:t>&gt; accessed 1st December, 2023.</w:t>
      </w:r>
    </w:p>
    <w:p w14:paraId="2B52D114">
      <w:pPr>
        <w:pStyle w:val="8"/>
        <w:spacing w:line="276" w:lineRule="auto"/>
        <w:jc w:val="both"/>
        <w:rPr>
          <w:rFonts w:ascii="Times New Roman" w:hAnsi="Times New Roman" w:eastAsia="Calibri"/>
          <w:sz w:val="24"/>
          <w:szCs w:val="24"/>
        </w:rPr>
      </w:pPr>
      <w:r>
        <w:rPr>
          <w:rFonts w:ascii="Times New Roman" w:hAnsi="Times New Roman"/>
          <w:sz w:val="24"/>
          <w:szCs w:val="24"/>
        </w:rPr>
        <w:t>--,&lt;</w:t>
      </w:r>
      <w:r>
        <w:rPr>
          <w:rFonts w:ascii="Times New Roman" w:hAnsi="Times New Roman"/>
          <w:sz w:val="24"/>
          <w:szCs w:val="24"/>
        </w:rPr>
        <w:fldChar w:fldCharType="begin"/>
      </w:r>
      <w:r>
        <w:rPr>
          <w:rFonts w:ascii="Times New Roman" w:hAnsi="Times New Roman"/>
          <w:sz w:val="24"/>
          <w:szCs w:val="24"/>
        </w:rPr>
        <w:instrText xml:space="preserve">HYPERLINK "https://www.freiheit.org/middle-east-and-north-africa/approaches-and-challenges-implementing-competition-law-and-policy-arab"</w:instrText>
      </w:r>
      <w:r>
        <w:rPr>
          <w:rFonts w:ascii="Times New Roman" w:hAnsi="Times New Roman"/>
          <w:sz w:val="24"/>
          <w:szCs w:val="24"/>
        </w:rPr>
        <w:fldChar w:fldCharType="separate"/>
      </w:r>
      <w:r>
        <w:rPr>
          <w:rStyle w:val="23"/>
          <w:rFonts w:ascii="Times New Roman" w:hAnsi="Times New Roman" w:eastAsia="Calibri" w:cs="Times New Roman"/>
          <w:sz w:val="24"/>
          <w:szCs w:val="24"/>
        </w:rPr>
        <w:t>https-//www.freiheit.org/middle-east-and-north-afr&lt;&gt;&lt;ica/approaches-and-challenges-implementing-competition-law-and-policy-arab</w:t>
      </w:r>
      <w:r>
        <w:rPr>
          <w:rFonts w:ascii="Times New Roman" w:hAnsi="Times New Roman"/>
          <w:sz w:val="24"/>
          <w:szCs w:val="24"/>
        </w:rPr>
        <w:fldChar w:fldCharType="end"/>
      </w:r>
      <w:r>
        <w:rPr>
          <w:rFonts w:ascii="Times New Roman" w:hAnsi="Times New Roman" w:eastAsia="Calibri"/>
          <w:sz w:val="24"/>
          <w:szCs w:val="24"/>
        </w:rPr>
        <w:t>&gt; accessed 2nd October, 2023</w:t>
      </w:r>
    </w:p>
    <w:p w14:paraId="40DFACE7">
      <w:pPr>
        <w:pStyle w:val="8"/>
        <w:spacing w:line="276" w:lineRule="auto"/>
        <w:jc w:val="both"/>
        <w:rPr>
          <w:rFonts w:ascii="Times New Roman" w:hAnsi="Times New Roman" w:eastAsia="Calibri"/>
          <w:sz w:val="24"/>
          <w:szCs w:val="24"/>
        </w:rPr>
      </w:pPr>
      <w:r>
        <w:rPr>
          <w:rFonts w:ascii="Times New Roman" w:hAnsi="Times New Roman" w:eastAsia="Calibri"/>
          <w:sz w:val="24"/>
          <w:szCs w:val="24"/>
        </w:rPr>
        <w:t xml:space="preserve">--.&lt; </w:t>
      </w:r>
      <w:r>
        <w:fldChar w:fldCharType="begin"/>
      </w:r>
      <w:r>
        <w:instrText xml:space="preserve"> HYPERLINK "https://jee.africa/wp-content/uploads/2019/07/Changing-Landscape-Federal-Competition-and-Consumer-Protection-Act.pdf" </w:instrText>
      </w:r>
      <w:r>
        <w:fldChar w:fldCharType="separate"/>
      </w:r>
      <w:r>
        <w:rPr>
          <w:rStyle w:val="23"/>
          <w:rFonts w:ascii="Times New Roman" w:hAnsi="Times New Roman" w:eastAsia="Calibri" w:cs="Times New Roman"/>
          <w:sz w:val="24"/>
          <w:szCs w:val="24"/>
        </w:rPr>
        <w:t>https-//jee.africa/wp-content/uploads/2019/07/Changing-Landscape-Federal-Competition-and-Consumer-Protection-Act.pdf</w:t>
      </w:r>
      <w:r>
        <w:fldChar w:fldCharType="end"/>
      </w:r>
      <w:r>
        <w:rPr>
          <w:rFonts w:ascii="Times New Roman" w:hAnsi="Times New Roman" w:eastAsia="Calibri"/>
          <w:sz w:val="24"/>
          <w:szCs w:val="24"/>
        </w:rPr>
        <w:t>&gt; Accessed 1st December, 2023.</w:t>
      </w:r>
    </w:p>
    <w:p w14:paraId="6A8D0F7B">
      <w:pPr>
        <w:pStyle w:val="8"/>
        <w:spacing w:line="276" w:lineRule="auto"/>
        <w:jc w:val="both"/>
        <w:rPr>
          <w:rFonts w:ascii="Times New Roman" w:hAnsi="Times New Roman" w:eastAsia="Calibri"/>
          <w:sz w:val="24"/>
          <w:szCs w:val="24"/>
        </w:rPr>
      </w:pPr>
      <w:r>
        <w:rPr>
          <w:rFonts w:ascii="Times New Roman" w:hAnsi="Times New Roman"/>
          <w:b/>
          <w:sz w:val="24"/>
          <w:szCs w:val="24"/>
        </w:rPr>
        <w:t>--,&lt;</w:t>
      </w:r>
      <w:r>
        <w:rPr>
          <w:rFonts w:ascii="Times New Roman" w:hAnsi="Times New Roman"/>
          <w:b/>
          <w:sz w:val="24"/>
          <w:szCs w:val="24"/>
        </w:rPr>
        <w:fldChar w:fldCharType="begin"/>
      </w:r>
      <w:r>
        <w:rPr>
          <w:rFonts w:ascii="Times New Roman" w:hAnsi="Times New Roman"/>
          <w:b/>
          <w:sz w:val="24"/>
          <w:szCs w:val="24"/>
        </w:rPr>
        <w:instrText xml:space="preserve">HYPERLINK "https://fccpc.gov.ng/criminal-attack-on-ms-greatness-olorunfemi-and-subsequent-medical-attention-and-fatal-outcome-re-maitama-district-hospital/"</w:instrText>
      </w:r>
      <w:r>
        <w:rPr>
          <w:rFonts w:ascii="Times New Roman" w:hAnsi="Times New Roman"/>
          <w:b/>
          <w:sz w:val="24"/>
          <w:szCs w:val="24"/>
        </w:rPr>
        <w:fldChar w:fldCharType="separate"/>
      </w:r>
      <w:r>
        <w:rPr>
          <w:rStyle w:val="24"/>
          <w:rFonts w:ascii="Times New Roman" w:hAnsi="Times New Roman" w:eastAsia="Calibri" w:cs="Times New Roman"/>
          <w:b w:val="0"/>
          <w:sz w:val="24"/>
          <w:szCs w:val="24"/>
          <w:u w:val="single"/>
        </w:rPr>
        <w:t>https-//fccpc.gov.ng/criminal-attack-on-ms-greatness-olorunfemi-and-subsequent-medical-attention-and-fatal-outcome-re-maitama-district-hospital/</w:t>
      </w:r>
      <w:r>
        <w:rPr>
          <w:rFonts w:ascii="Times New Roman" w:hAnsi="Times New Roman"/>
          <w:b/>
          <w:sz w:val="24"/>
          <w:szCs w:val="24"/>
        </w:rPr>
        <w:fldChar w:fldCharType="end"/>
      </w:r>
      <w:r>
        <w:rPr>
          <w:rFonts w:ascii="Times New Roman" w:hAnsi="Times New Roman" w:eastAsia="Calibri"/>
          <w:sz w:val="24"/>
          <w:szCs w:val="24"/>
        </w:rPr>
        <w:t>&gt; accessed 3rd October, 2023.</w:t>
      </w:r>
    </w:p>
    <w:p w14:paraId="2E728FD5">
      <w:pPr>
        <w:pStyle w:val="8"/>
        <w:spacing w:line="276" w:lineRule="auto"/>
        <w:jc w:val="both"/>
        <w:rPr>
          <w:rFonts w:ascii="Times New Roman" w:hAnsi="Times New Roman" w:eastAsia="Calibri"/>
          <w:sz w:val="24"/>
          <w:szCs w:val="24"/>
        </w:rPr>
      </w:pPr>
      <w:r>
        <w:rPr>
          <w:rFonts w:ascii="Times New Roman" w:hAnsi="Times New Roman" w:eastAsia="Calibri"/>
          <w:sz w:val="24"/>
          <w:szCs w:val="24"/>
        </w:rPr>
        <w:t>--,CCPT homepage &lt;</w:t>
      </w:r>
      <w:r>
        <w:fldChar w:fldCharType="begin"/>
      </w:r>
      <w:r>
        <w:instrText xml:space="preserve"> HYPERLINK "https://ccpt.gov.ng/2023/07/13/court-fines-stanbic-ibtc-n120m-over-failed-transfer/" </w:instrText>
      </w:r>
      <w:r>
        <w:fldChar w:fldCharType="separate"/>
      </w:r>
      <w:r>
        <w:rPr>
          <w:rStyle w:val="24"/>
          <w:rFonts w:ascii="Times New Roman" w:hAnsi="Times New Roman" w:eastAsia="Calibri" w:cs="Times New Roman"/>
          <w:b w:val="0"/>
          <w:sz w:val="24"/>
          <w:szCs w:val="24"/>
          <w:u w:val="single"/>
        </w:rPr>
        <w:t>https-//ccpt.gov.ng/2023/07/13/court-fines-stanbic-ibtc-n120m-over-failed-transfer/</w:t>
      </w:r>
      <w:r>
        <w:fldChar w:fldCharType="end"/>
      </w:r>
      <w:r>
        <w:rPr>
          <w:rFonts w:ascii="Times New Roman" w:hAnsi="Times New Roman" w:eastAsia="Calibri"/>
          <w:sz w:val="24"/>
          <w:szCs w:val="24"/>
        </w:rPr>
        <w:t xml:space="preserve">&gt; accessed 3rd October, 2023 </w:t>
      </w:r>
    </w:p>
    <w:p w14:paraId="04B40296">
      <w:pPr>
        <w:pStyle w:val="8"/>
        <w:spacing w:line="276" w:lineRule="auto"/>
        <w:jc w:val="both"/>
        <w:rPr>
          <w:rFonts w:ascii="Times New Roman" w:hAnsi="Times New Roman" w:eastAsia="Calibri"/>
          <w:sz w:val="24"/>
          <w:szCs w:val="24"/>
        </w:rPr>
      </w:pPr>
      <w:r>
        <w:rPr>
          <w:rFonts w:ascii="Times New Roman" w:hAnsi="Times New Roman" w:eastAsia="Calibri"/>
          <w:sz w:val="24"/>
          <w:szCs w:val="24"/>
        </w:rPr>
        <w:t>--,CCPT official website &lt;</w:t>
      </w:r>
      <w:r>
        <w:fldChar w:fldCharType="begin"/>
      </w:r>
      <w:r>
        <w:instrText xml:space="preserve"> HYPERLINK "https://ccpt.gov.ng/" </w:instrText>
      </w:r>
      <w:r>
        <w:fldChar w:fldCharType="separate"/>
      </w:r>
      <w:r>
        <w:rPr>
          <w:rStyle w:val="22"/>
          <w:rFonts w:ascii="Times New Roman" w:hAnsi="Times New Roman" w:eastAsia="Calibri" w:cs="Times New Roman"/>
          <w:sz w:val="24"/>
          <w:szCs w:val="24"/>
        </w:rPr>
        <w:t>https-//ccpt.gov.ng/</w:t>
      </w:r>
      <w:r>
        <w:fldChar w:fldCharType="end"/>
      </w:r>
      <w:r>
        <w:rPr>
          <w:rFonts w:ascii="Times New Roman" w:hAnsi="Times New Roman" w:eastAsia="Calibri"/>
          <w:sz w:val="24"/>
          <w:szCs w:val="24"/>
        </w:rPr>
        <w:t>&gt; accessed 9th October, 2023.</w:t>
      </w:r>
    </w:p>
    <w:p w14:paraId="5BE52C38">
      <w:pPr>
        <w:pStyle w:val="8"/>
        <w:spacing w:line="276" w:lineRule="auto"/>
        <w:jc w:val="both"/>
        <w:rPr>
          <w:rFonts w:ascii="Times New Roman" w:hAnsi="Times New Roman" w:eastAsia="Calibri"/>
          <w:sz w:val="24"/>
          <w:szCs w:val="24"/>
        </w:rPr>
      </w:pPr>
      <w:r>
        <w:rPr>
          <w:rFonts w:ascii="Times New Roman" w:hAnsi="Times New Roman" w:eastAsia="Calibri"/>
          <w:sz w:val="24"/>
          <w:szCs w:val="24"/>
        </w:rPr>
        <w:t xml:space="preserve">--, &lt; </w:t>
      </w:r>
      <w:r>
        <w:fldChar w:fldCharType="begin"/>
      </w:r>
      <w:r>
        <w:instrText xml:space="preserve"> HYPERLINK "https://punchng.com/tribunal-on-competition-consumer-protection-unveils-practise-rules" </w:instrText>
      </w:r>
      <w:r>
        <w:fldChar w:fldCharType="separate"/>
      </w:r>
      <w:r>
        <w:rPr>
          <w:rStyle w:val="22"/>
          <w:rFonts w:ascii="Times New Roman" w:hAnsi="Times New Roman" w:eastAsia="Calibri" w:cs="Times New Roman"/>
          <w:sz w:val="24"/>
          <w:szCs w:val="24"/>
        </w:rPr>
        <w:t>https-//punchng.com/tribunal-on-competition-consumer-protection-unveils-practise-rules</w:t>
      </w:r>
      <w:r>
        <w:fldChar w:fldCharType="end"/>
      </w:r>
      <w:r>
        <w:rPr>
          <w:rFonts w:ascii="Times New Roman" w:hAnsi="Times New Roman" w:eastAsia="Calibri"/>
          <w:sz w:val="24"/>
          <w:szCs w:val="24"/>
        </w:rPr>
        <w:t>&gt; Retrieved on 5th October, 2023.</w:t>
      </w:r>
    </w:p>
    <w:p w14:paraId="1F7DDF29">
      <w:pPr>
        <w:pStyle w:val="8"/>
        <w:spacing w:line="276" w:lineRule="auto"/>
        <w:jc w:val="both"/>
        <w:rPr>
          <w:rFonts w:ascii="Times New Roman" w:hAnsi="Times New Roman" w:eastAsia="Calibri"/>
          <w:sz w:val="24"/>
          <w:szCs w:val="24"/>
        </w:rPr>
      </w:pPr>
    </w:p>
    <w:p w14:paraId="4AF15D8A">
      <w:pPr>
        <w:pStyle w:val="8"/>
        <w:jc w:val="both"/>
        <w:rPr>
          <w:rFonts w:ascii="Times New Roman" w:hAnsi="Times New Roman" w:eastAsia="Calibri"/>
          <w:sz w:val="24"/>
          <w:szCs w:val="24"/>
        </w:rPr>
      </w:pPr>
    </w:p>
    <w:p w14:paraId="1942D9DF">
      <w:pPr>
        <w:pStyle w:val="8"/>
        <w:jc w:val="both"/>
        <w:rPr>
          <w:rFonts w:ascii="Times New Roman" w:hAnsi="Times New Roman" w:eastAsia="Calibri"/>
          <w:sz w:val="24"/>
          <w:szCs w:val="24"/>
        </w:rPr>
      </w:pPr>
    </w:p>
    <w:p w14:paraId="5CF9DBB9">
      <w:pPr>
        <w:pStyle w:val="8"/>
        <w:jc w:val="both"/>
        <w:rPr>
          <w:rFonts w:ascii="Times New Roman" w:hAnsi="Times New Roman" w:eastAsia="Calibri"/>
          <w:sz w:val="24"/>
          <w:szCs w:val="24"/>
        </w:rPr>
      </w:pPr>
    </w:p>
    <w:p w14:paraId="229D9ACF">
      <w:pPr>
        <w:pStyle w:val="8"/>
        <w:jc w:val="both"/>
        <w:rPr>
          <w:rFonts w:ascii="Times New Roman" w:hAnsi="Times New Roman" w:eastAsia="Calibri"/>
          <w:sz w:val="24"/>
          <w:szCs w:val="24"/>
        </w:rPr>
      </w:pPr>
    </w:p>
    <w:p w14:paraId="14A8E4E3">
      <w:pPr>
        <w:pStyle w:val="8"/>
        <w:jc w:val="both"/>
        <w:rPr>
          <w:rFonts w:ascii="Times New Roman" w:hAnsi="Times New Roman" w:eastAsia="Calibri"/>
          <w:sz w:val="24"/>
          <w:szCs w:val="24"/>
        </w:rPr>
      </w:pPr>
      <w:r>
        <w:rPr>
          <w:rFonts w:ascii="Times New Roman" w:hAnsi="Times New Roman" w:eastAsia="Calibri"/>
          <w:sz w:val="24"/>
          <w:szCs w:val="24"/>
        </w:rPr>
        <w:t xml:space="preserve"> </w:t>
      </w:r>
    </w:p>
    <w:p w14:paraId="64DF00E3">
      <w:pPr>
        <w:spacing w:before="100" w:beforeAutospacing="1" w:line="480" w:lineRule="auto"/>
        <w:jc w:val="both"/>
        <w:rPr>
          <w:rFonts w:ascii="Times New Roman" w:hAnsi="Times New Roman" w:cs="Times New Roman"/>
          <w:sz w:val="24"/>
          <w:szCs w:val="24"/>
        </w:rPr>
      </w:pPr>
    </w:p>
    <w:p w14:paraId="1CBBEC60">
      <w:pPr>
        <w:spacing w:line="480" w:lineRule="auto"/>
        <w:jc w:val="both"/>
        <w:rPr>
          <w:rFonts w:ascii="Times New Roman" w:hAnsi="Times New Roman" w:cs="Times New Roman"/>
          <w:sz w:val="24"/>
          <w:szCs w:val="24"/>
        </w:rPr>
      </w:pPr>
    </w:p>
    <w:p w14:paraId="3D830F45">
      <w:pPr>
        <w:jc w:val="both"/>
        <w:rPr>
          <w:rFonts w:ascii="Times New Roman" w:hAnsi="Times New Roman" w:cs="Times New Roman"/>
          <w:sz w:val="24"/>
          <w:szCs w:val="24"/>
        </w:rPr>
      </w:pPr>
    </w:p>
    <w:sectPr>
      <w:footerReference r:id="rId5" w:type="default"/>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0002A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DEA6CF">
    <w:pPr>
      <w:pStyle w:val="6"/>
      <w:jc w:val="center"/>
    </w:pPr>
    <w:r>
      <w:fldChar w:fldCharType="begin"/>
    </w:r>
    <w:r>
      <w:instrText xml:space="preserve"> PAGE   \* MERGEFORMAT </w:instrText>
    </w:r>
    <w:r>
      <w:fldChar w:fldCharType="separate"/>
    </w:r>
    <w:r>
      <w:t>23</w:t>
    </w:r>
    <w:r>
      <w:fldChar w:fldCharType="end"/>
    </w:r>
  </w:p>
  <w:p w14:paraId="3AA85D79">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322">
    <w:p>
      <w:pPr>
        <w:spacing w:before="0" w:after="0" w:line="276" w:lineRule="auto"/>
      </w:pPr>
      <w:r>
        <w:separator/>
      </w:r>
    </w:p>
  </w:footnote>
  <w:footnote w:type="continuationSeparator" w:id="323">
    <w:p>
      <w:pPr>
        <w:spacing w:before="0" w:after="0" w:line="276" w:lineRule="auto"/>
      </w:pPr>
      <w:r>
        <w:continuationSeparator/>
      </w:r>
    </w:p>
  </w:footnote>
  <w:footnote w:id="0">
    <w:p w14:paraId="29DA05D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Caveat legal, “Understanding Competition Law in South Africa – A Quick Guide”</w:t>
      </w:r>
      <w:r>
        <w:rPr>
          <w:rFonts w:ascii="Times New Roman" w:hAnsi="Times New Roman" w:cs="Times New Roman"/>
          <w:i/>
        </w:rPr>
        <w:t xml:space="preserve"> &lt;</w:t>
      </w:r>
      <w:r>
        <w:rPr>
          <w:rFonts w:ascii="Times New Roman" w:hAnsi="Times New Roman" w:cs="Times New Roman"/>
        </w:rPr>
        <w:t xml:space="preserve"> </w:t>
      </w:r>
      <w:r>
        <w:fldChar w:fldCharType="begin"/>
      </w:r>
      <w:r>
        <w:instrText xml:space="preserve"> HYPERLINK "https://www.caveatlegal.com/blog/competition-law-south-africa-guide/" </w:instrText>
      </w:r>
      <w:r>
        <w:fldChar w:fldCharType="separate"/>
      </w:r>
      <w:r>
        <w:rPr>
          <w:rStyle w:val="10"/>
          <w:rFonts w:ascii="Times New Roman" w:hAnsi="Times New Roman" w:cs="Times New Roman"/>
        </w:rPr>
        <w:t>Competition Law in South Africa - A Quick Guide (caveatlegal.com)</w:t>
      </w:r>
      <w:r>
        <w:fldChar w:fldCharType="end"/>
      </w:r>
      <w:r>
        <w:rPr>
          <w:rFonts w:ascii="Times New Roman" w:hAnsi="Times New Roman" w:cs="Times New Roman"/>
        </w:rPr>
        <w:t>&gt; Accessed 30th November, 2023.</w:t>
      </w:r>
    </w:p>
  </w:footnote>
  <w:footnote w:id="1">
    <w:p w14:paraId="4EFBECFA">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Explanatory Memorandum of </w:t>
      </w:r>
      <w:r>
        <w:rPr>
          <w:rStyle w:val="14"/>
          <w:rFonts w:ascii="Times New Roman" w:hAnsi="Times New Roman" w:cs="Times New Roman"/>
          <w:bCs/>
        </w:rPr>
        <w:t>Federal Competitive and Consumer Protection Act, 2018.</w:t>
      </w:r>
    </w:p>
  </w:footnote>
  <w:footnote w:id="2">
    <w:p w14:paraId="24344D7D">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Hereafter referred to as “FCCPA”.</w:t>
      </w:r>
    </w:p>
  </w:footnote>
  <w:footnote w:id="3">
    <w:p w14:paraId="7CDAD8A6">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Style w:val="14"/>
          <w:rFonts w:ascii="Times New Roman" w:hAnsi="Times New Roman" w:cs="Times New Roman"/>
          <w:bCs/>
        </w:rPr>
        <w:t>Federal Competition and Consumer Protection Act, 2018, hereafter, “the FCCPA”, s. 167(1).</w:t>
      </w:r>
    </w:p>
  </w:footnote>
  <w:footnote w:id="4">
    <w:p w14:paraId="7ADFB3A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Section 4(d) of the Nigeria Communication Act, 2003.</w:t>
      </w:r>
    </w:p>
  </w:footnote>
  <w:footnote w:id="5">
    <w:p w14:paraId="0E70A8F5">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Style w:val="14"/>
          <w:rFonts w:ascii="Times New Roman" w:hAnsi="Times New Roman" w:cs="Times New Roman"/>
        </w:rPr>
        <w:t xml:space="preserve">Electricity Act 2023 now </w:t>
      </w:r>
      <w:r>
        <w:rPr>
          <w:rStyle w:val="14"/>
          <w:rFonts w:ascii="Times New Roman" w:hAnsi="Times New Roman" w:cs="Times New Roman"/>
          <w:bCs/>
        </w:rPr>
        <w:t>provides for even wider concept on this. The regulation and supervision on competition is substantially privatised in electricity market</w:t>
      </w:r>
      <w:r>
        <w:rPr>
          <w:rStyle w:val="14"/>
          <w:rFonts w:ascii="Times New Roman" w:hAnsi="Times New Roman" w:cs="Times New Roman"/>
        </w:rPr>
        <w:t xml:space="preserve"> while the Federal Minister in charge of power exercises supervisory powers and functions.</w:t>
      </w:r>
    </w:p>
  </w:footnote>
  <w:footnote w:id="6">
    <w:p w14:paraId="439DF6B5">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Investment and Securities Act, (hereinafter as “ISA”) 2007; Cap 29, LFN, 2004, </w:t>
      </w:r>
    </w:p>
  </w:footnote>
  <w:footnote w:id="7">
    <w:p w14:paraId="191DE31B">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The Corporate Affairs Commission (CAC), established by the Companies and Allied Matters Act,  (CAMA) Cap C20 Laws of the Federation of Nigeria, (hereafter referred as “LFN”) 2004, Federal High Court, The Nigerian Exchange Limited (</w:t>
      </w:r>
      <w:r>
        <w:rPr>
          <w:rFonts w:ascii="Times New Roman" w:hAnsi="Times New Roman" w:cs="Times New Roman"/>
          <w:bCs/>
        </w:rPr>
        <w:t>NGX</w:t>
      </w:r>
      <w:r>
        <w:rPr>
          <w:rFonts w:ascii="Times New Roman" w:hAnsi="Times New Roman" w:cs="Times New Roman"/>
        </w:rPr>
        <w:t>), National Insurance Commission (</w:t>
      </w:r>
      <w:r>
        <w:rPr>
          <w:rStyle w:val="12"/>
          <w:rFonts w:ascii="Times New Roman" w:hAnsi="Times New Roman" w:cs="Times New Roman"/>
          <w:b w:val="0"/>
        </w:rPr>
        <w:t>NAICOM</w:t>
      </w:r>
      <w:r>
        <w:rPr>
          <w:rFonts w:ascii="Times New Roman" w:hAnsi="Times New Roman" w:cs="Times New Roman"/>
        </w:rPr>
        <w:t>), Nigerian Civil Aviation Authority (NCAA), the Electricity Power Sector Reforms Act (EPSRA) and the Central Bank of Nigeria (</w:t>
      </w:r>
      <w:r>
        <w:rPr>
          <w:rStyle w:val="12"/>
          <w:rFonts w:ascii="Times New Roman" w:hAnsi="Times New Roman" w:cs="Times New Roman"/>
          <w:b w:val="0"/>
        </w:rPr>
        <w:t>CBN</w:t>
      </w:r>
      <w:r>
        <w:rPr>
          <w:rFonts w:ascii="Times New Roman" w:hAnsi="Times New Roman" w:cs="Times New Roman"/>
        </w:rPr>
        <w:t>)</w:t>
      </w:r>
    </w:p>
  </w:footnote>
  <w:footnote w:id="8">
    <w:p w14:paraId="39ADD961">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Cap 25, LFN, 2004, hereinafter, (“the CPCA”).</w:t>
      </w:r>
    </w:p>
  </w:footnote>
  <w:footnote w:id="9">
    <w:p w14:paraId="2775CED3">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Style w:val="14"/>
          <w:rFonts w:ascii="Times New Roman" w:hAnsi="Times New Roman" w:cs="Times New Roman"/>
        </w:rPr>
        <w:t>Hereinafter referred as “the Commission”.</w:t>
      </w:r>
    </w:p>
  </w:footnote>
  <w:footnote w:id="10">
    <w:p w14:paraId="0C655150">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Style w:val="14"/>
          <w:rFonts w:ascii="Times New Roman" w:hAnsi="Times New Roman" w:cs="Times New Roman"/>
        </w:rPr>
        <w:t>Hereinafter referred as “the Tribunal”.</w:t>
      </w:r>
    </w:p>
  </w:footnote>
  <w:footnote w:id="11">
    <w:p w14:paraId="5C87F292">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iCs/>
          <w:color w:val="000000"/>
        </w:rPr>
        <w:t xml:space="preserve">Nigerian Bottling Plc v Audu </w:t>
      </w:r>
      <w:r>
        <w:rPr>
          <w:rFonts w:ascii="Times New Roman" w:hAnsi="Times New Roman" w:cs="Times New Roman"/>
          <w:color w:val="000000"/>
        </w:rPr>
        <w:t>(2009) LPELR-8863 (CA)</w:t>
      </w:r>
    </w:p>
  </w:footnote>
  <w:footnote w:id="12">
    <w:p w14:paraId="138E55F1">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Such acts like exclusion of implied terms, misrepresentation, breach of implied obligations by law, selling or supplying defective products or using contract terms or notice to sell defective products and more are prohibited in Part XVI of the FCCPA.</w:t>
      </w:r>
    </w:p>
  </w:footnote>
  <w:footnote w:id="13">
    <w:p w14:paraId="26443406">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(1985) 5 SC 313.</w:t>
      </w:r>
    </w:p>
  </w:footnote>
  <w:footnote w:id="14">
    <w:p w14:paraId="29031415">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(2008) 5 NWLR {Pt 1079} 172 SC.</w:t>
      </w:r>
    </w:p>
  </w:footnote>
  <w:footnote w:id="15">
    <w:p w14:paraId="34D03B27">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Also, in </w:t>
      </w:r>
      <w:r>
        <w:rPr>
          <w:rStyle w:val="14"/>
          <w:rFonts w:ascii="Times New Roman" w:hAnsi="Times New Roman" w:cs="Times New Roman"/>
        </w:rPr>
        <w:t xml:space="preserve">Donoghue v Stevenson </w:t>
      </w:r>
      <w:r>
        <w:rPr>
          <w:rStyle w:val="14"/>
          <w:rFonts w:ascii="Times New Roman" w:hAnsi="Times New Roman" w:cs="Times New Roman"/>
          <w:bCs/>
        </w:rPr>
        <w:t>[1932] AC 562.</w:t>
      </w:r>
    </w:p>
  </w:footnote>
  <w:footnote w:id="16">
    <w:p w14:paraId="17F9B7A6">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fldChar w:fldCharType="begin"/>
      </w:r>
      <w:r>
        <w:instrText xml:space="preserve"> HYPERLINK "https://punchng.com/nafdac-seals-contraband-tomato-paste-distribution-outlet-arrests-one/" </w:instrText>
      </w:r>
      <w:r>
        <w:fldChar w:fldCharType="separate"/>
      </w:r>
      <w:r>
        <w:rPr>
          <w:rStyle w:val="10"/>
          <w:rFonts w:ascii="Times New Roman" w:hAnsi="Times New Roman" w:cs="Times New Roman"/>
        </w:rPr>
        <w:t>https://punchng.com/nafdac-seals-contraband-tomato-paste-distribution-outlet-arrests-one/</w:t>
      </w:r>
      <w:r>
        <w:fldChar w:fldCharType="end"/>
      </w:r>
      <w:r>
        <w:rPr>
          <w:rFonts w:ascii="Times New Roman" w:hAnsi="Times New Roman" w:cs="Times New Roman"/>
        </w:rPr>
        <w:t xml:space="preserve"> accessed 28</w:t>
      </w:r>
      <w:r>
        <w:rPr>
          <w:rFonts w:ascii="Times New Roman" w:hAnsi="Times New Roman" w:cs="Times New Roman"/>
          <w:vertAlign w:val="superscript"/>
        </w:rPr>
        <w:t>th</w:t>
      </w:r>
      <w:r>
        <w:rPr>
          <w:rFonts w:ascii="Times New Roman" w:hAnsi="Times New Roman" w:cs="Times New Roman"/>
        </w:rPr>
        <w:t xml:space="preserve"> September, 2023.</w:t>
      </w:r>
    </w:p>
  </w:footnote>
  <w:footnote w:id="17">
    <w:p w14:paraId="33E05B2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FCCPC homepage, &lt;</w:t>
      </w:r>
      <w:r>
        <w:fldChar w:fldCharType="begin"/>
      </w:r>
      <w:r>
        <w:instrText xml:space="preserve"> HYPERLINK "https://fccpc.gov.ng/resources-library/fccpa/" </w:instrText>
      </w:r>
      <w:r>
        <w:fldChar w:fldCharType="separate"/>
      </w:r>
      <w:r>
        <w:rPr>
          <w:rStyle w:val="10"/>
          <w:rFonts w:ascii="Times New Roman" w:hAnsi="Times New Roman" w:cs="Times New Roman"/>
        </w:rPr>
        <w:t>https://fccpc.gov.ng/resources-library/fccpa/</w:t>
      </w:r>
      <w:r>
        <w:fldChar w:fldCharType="end"/>
      </w:r>
      <w:r>
        <w:rPr>
          <w:rFonts w:ascii="Times New Roman" w:hAnsi="Times New Roman" w:cs="Times New Roman"/>
        </w:rPr>
        <w:t>&gt; Accessed 28</w:t>
      </w:r>
      <w:r>
        <w:rPr>
          <w:rFonts w:ascii="Times New Roman" w:hAnsi="Times New Roman" w:cs="Times New Roman"/>
          <w:vertAlign w:val="superscript"/>
        </w:rPr>
        <w:t>th</w:t>
      </w:r>
      <w:r>
        <w:rPr>
          <w:rFonts w:ascii="Times New Roman" w:hAnsi="Times New Roman" w:cs="Times New Roman"/>
        </w:rPr>
        <w:t xml:space="preserve"> September, 2023.</w:t>
      </w:r>
    </w:p>
  </w:footnote>
  <w:footnote w:id="18">
    <w:p w14:paraId="1319EB7E">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See also, </w:t>
      </w:r>
      <w:r>
        <w:fldChar w:fldCharType="begin"/>
      </w:r>
      <w:r>
        <w:instrText xml:space="preserve"> HYPERLINK "https://www.doa-law.com/wp-content/uploads/2022/06/Restrictive_Agreement_2.pdf" </w:instrText>
      </w:r>
      <w:r>
        <w:fldChar w:fldCharType="separate"/>
      </w:r>
      <w:r>
        <w:rPr>
          <w:rStyle w:val="10"/>
          <w:rFonts w:ascii="Times New Roman" w:hAnsi="Times New Roman" w:cs="Times New Roman"/>
        </w:rPr>
        <w:t>https://www.doa-law.com/wp-content/uploads/2022/06/Restrictive_Agreement_2.pdf</w:t>
      </w:r>
      <w:r>
        <w:fldChar w:fldCharType="end"/>
      </w:r>
      <w:r>
        <w:rPr>
          <w:rFonts w:ascii="Times New Roman" w:hAnsi="Times New Roman" w:cs="Times New Roman"/>
        </w:rPr>
        <w:t xml:space="preserve"> Accessed 1st December, 2023.</w:t>
      </w:r>
    </w:p>
  </w:footnote>
  <w:footnote w:id="19">
    <w:p w14:paraId="6A83A41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fldChar w:fldCharType="begin"/>
      </w:r>
      <w:r>
        <w:instrText xml:space="preserve"> HYPERLINK "https://ccpt.gov.ng/ova_sev/prohibition-of-monopolies/" </w:instrText>
      </w:r>
      <w:r>
        <w:fldChar w:fldCharType="separate"/>
      </w:r>
      <w:r>
        <w:rPr>
          <w:rStyle w:val="10"/>
          <w:rFonts w:ascii="Times New Roman" w:hAnsi="Times New Roman" w:cs="Times New Roman"/>
        </w:rPr>
        <w:t>https://ccpt.gov.ng/ova_sev/prohibition-of-monopolies/</w:t>
      </w:r>
      <w:r>
        <w:fldChar w:fldCharType="end"/>
      </w:r>
      <w:r>
        <w:rPr>
          <w:rFonts w:ascii="Times New Roman" w:hAnsi="Times New Roman" w:cs="Times New Roman"/>
        </w:rPr>
        <w:t xml:space="preserve"> accessed 1st December, 2023. See also Part X of FCCPA.</w:t>
      </w:r>
    </w:p>
  </w:footnote>
  <w:footnote w:id="20">
    <w:p w14:paraId="3DFCE82A">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Various regulatory functions like Price Regulation: Part XI, Merger; Part XII, Regulated Industries; Part XIII of FCCPA.</w:t>
      </w:r>
    </w:p>
  </w:footnote>
  <w:footnote w:id="21">
    <w:p w14:paraId="3763AEB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Ibid, part XIV. Also, </w:t>
      </w:r>
      <w:r>
        <w:fldChar w:fldCharType="begin"/>
      </w:r>
      <w:r>
        <w:instrText xml:space="preserve"> HYPERLINK "https://assets.kpmg.com/content/dam/kpmg/ng/pdf/tax/ng-Federal-Competition-and-Consumer-Protection-Act.pdf" </w:instrText>
      </w:r>
      <w:r>
        <w:fldChar w:fldCharType="separate"/>
      </w:r>
      <w:r>
        <w:rPr>
          <w:rStyle w:val="10"/>
          <w:rFonts w:ascii="Times New Roman" w:hAnsi="Times New Roman" w:cs="Times New Roman"/>
        </w:rPr>
        <w:t>https://assets.kpmg.com/content/dam/kpmg/ng/pdf/tax/ng-Federal-Competition-and-Consumer-Protection-Act.pdf</w:t>
      </w:r>
      <w:r>
        <w:fldChar w:fldCharType="end"/>
      </w:r>
      <w:r>
        <w:rPr>
          <w:rFonts w:ascii="Times New Roman" w:hAnsi="Times New Roman" w:cs="Times New Roman"/>
        </w:rPr>
        <w:t xml:space="preserve"> accessed 1st December, 2023.</w:t>
      </w:r>
    </w:p>
  </w:footnote>
  <w:footnote w:id="22">
    <w:p w14:paraId="03F3FD73">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Ibid, part XV. See also </w:t>
      </w:r>
      <w:r>
        <w:fldChar w:fldCharType="begin"/>
      </w:r>
      <w:r>
        <w:instrText xml:space="preserve"> HYPERLINK "https://study.com/academy/lesson/five-major-consumer-rights.html" </w:instrText>
      </w:r>
      <w:r>
        <w:fldChar w:fldCharType="separate"/>
      </w:r>
      <w:r>
        <w:rPr>
          <w:rStyle w:val="10"/>
          <w:rFonts w:ascii="Times New Roman" w:hAnsi="Times New Roman" w:cs="Times New Roman"/>
        </w:rPr>
        <w:t>https://study.com/academy/lesson/five-major-consumer-rights.html</w:t>
      </w:r>
      <w:r>
        <w:fldChar w:fldCharType="end"/>
      </w:r>
      <w:r>
        <w:rPr>
          <w:rFonts w:ascii="Times New Roman" w:hAnsi="Times New Roman" w:cs="Times New Roman"/>
        </w:rPr>
        <w:t xml:space="preserve"> accessed 1st December, 2023. Consumer rights under the FCCPA will be given proper explanation subsequently. </w:t>
      </w:r>
    </w:p>
  </w:footnote>
  <w:footnote w:id="23">
    <w:p w14:paraId="67B67054">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Ibid, part XVII.</w:t>
      </w:r>
    </w:p>
  </w:footnote>
  <w:footnote w:id="24">
    <w:p w14:paraId="63DE3E49">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39.</w:t>
      </w:r>
    </w:p>
  </w:footnote>
  <w:footnote w:id="25">
    <w:p w14:paraId="1329C6D1">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The commission is responsible for the administration and enforcement of the provisions of the FCCPA and any other enactment with respect to competition and protection of consumers in Nigeria; together with CCPT having the appellate jurisdiction. See, FCCPA, s. 17(a).</w:t>
      </w:r>
    </w:p>
  </w:footnote>
  <w:footnote w:id="26">
    <w:p w14:paraId="1DA10B7A">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Ibid, s. 2(1). </w:t>
      </w:r>
    </w:p>
  </w:footnote>
  <w:footnote w:id="27">
    <w:p w14:paraId="532911A5">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Ibid, s. 51.</w:t>
      </w:r>
    </w:p>
  </w:footnote>
  <w:footnote w:id="28">
    <w:p w14:paraId="283AFA5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Ibid</w:t>
      </w:r>
      <w:r>
        <w:rPr>
          <w:rFonts w:ascii="Times New Roman" w:hAnsi="Times New Roman" w:cs="Times New Roman"/>
        </w:rPr>
        <w:t>, section 2(3).</w:t>
      </w:r>
    </w:p>
  </w:footnote>
  <w:footnote w:id="29">
    <w:p w14:paraId="08D5DF1A">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Cap C25 LFN 2004; See also Section 165, FCCPA.</w:t>
      </w:r>
    </w:p>
  </w:footnote>
  <w:footnote w:id="30">
    <w:p w14:paraId="773EC22E">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3.</w:t>
      </w:r>
    </w:p>
  </w:footnote>
  <w:footnote w:id="31">
    <w:p w14:paraId="0FD6574B">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Ibid</w:t>
      </w:r>
      <w:r>
        <w:rPr>
          <w:rFonts w:ascii="Times New Roman" w:hAnsi="Times New Roman" w:cs="Times New Roman"/>
        </w:rPr>
        <w:t>, s. 93.</w:t>
      </w:r>
    </w:p>
  </w:footnote>
  <w:footnote w:id="32">
    <w:p w14:paraId="4E163FC3">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Section 3. See also &lt;</w:t>
      </w:r>
      <w:r>
        <w:fldChar w:fldCharType="begin"/>
      </w:r>
      <w:r>
        <w:instrText xml:space="preserve"> HYPERLINK "https://www.afronomicslaw.org/2019/09/25/the-nigerian-federal-competition-and-competition-protection-act-2019-lessons-from-south-africa" </w:instrText>
      </w:r>
      <w:r>
        <w:fldChar w:fldCharType="separate"/>
      </w:r>
      <w:r>
        <w:rPr>
          <w:rStyle w:val="10"/>
          <w:rFonts w:ascii="Times New Roman" w:hAnsi="Times New Roman" w:cs="Times New Roman"/>
        </w:rPr>
        <w:t>https://www.afronomicslaw.org/2019/09/25/the-nigerian-federal-competition-and-competition-protection-act-2019-lessons-from-south-africa</w:t>
      </w:r>
      <w:r>
        <w:fldChar w:fldCharType="end"/>
      </w:r>
      <w:r>
        <w:rPr>
          <w:rFonts w:ascii="Times New Roman" w:hAnsi="Times New Roman" w:cs="Times New Roman"/>
        </w:rPr>
        <w:t>&gt; accessed 29th September 2023.</w:t>
      </w:r>
    </w:p>
  </w:footnote>
  <w:footnote w:id="33">
    <w:p w14:paraId="10BF555D">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2018, ss. 119-133. See also Chapter Two of this work, for more explanation of the above rights. </w:t>
      </w:r>
    </w:p>
  </w:footnote>
  <w:footnote w:id="34">
    <w:p w14:paraId="60E8C4C6">
      <w:pPr>
        <w:spacing w:line="360" w:lineRule="auto"/>
        <w:rPr>
          <w:rFonts w:ascii="Times New Roman" w:hAnsi="Times New Roman" w:cs="Times New Roman"/>
          <w:sz w:val="20"/>
          <w:szCs w:val="20"/>
        </w:rPr>
      </w:pPr>
      <w:r>
        <w:rPr>
          <w:rStyle w:val="7"/>
          <w:rFonts w:ascii="Times New Roman" w:hAnsi="Times New Roman" w:cs="Times New Roman"/>
          <w:sz w:val="20"/>
          <w:szCs w:val="20"/>
        </w:rPr>
        <w:footnoteRef/>
      </w:r>
      <w:r>
        <w:rPr>
          <w:rFonts w:ascii="Times New Roman" w:hAnsi="Times New Roman" w:cs="Times New Roman"/>
          <w:sz w:val="20"/>
          <w:szCs w:val="20"/>
        </w:rPr>
        <w:t xml:space="preserve"> (Unreported) Suit No: E/514/202, judgment delivered on (8th April, 2022) </w:t>
      </w:r>
      <w:r>
        <w:rPr>
          <w:rFonts w:ascii="Times New Roman" w:hAnsi="Times New Roman" w:cs="Times New Roman"/>
          <w:i/>
          <w:sz w:val="20"/>
          <w:szCs w:val="20"/>
        </w:rPr>
        <w:t>per</w:t>
      </w:r>
      <w:r>
        <w:rPr>
          <w:rFonts w:ascii="Times New Roman" w:hAnsi="Times New Roman" w:cs="Times New Roman"/>
          <w:sz w:val="20"/>
          <w:szCs w:val="20"/>
        </w:rPr>
        <w:t xml:space="preserve"> Hon Justice C.O. Ajah. </w:t>
      </w:r>
    </w:p>
  </w:footnote>
  <w:footnote w:id="35">
    <w:p w14:paraId="5C14F7EB">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fldChar w:fldCharType="begin"/>
      </w:r>
      <w:r>
        <w:instrText xml:space="preserve"> HYPERLINK "https://ccpt.gov.ng/" </w:instrText>
      </w:r>
      <w:r>
        <w:fldChar w:fldCharType="separate"/>
      </w:r>
      <w:r>
        <w:rPr>
          <w:rStyle w:val="10"/>
          <w:rFonts w:ascii="Times New Roman" w:hAnsi="Times New Roman" w:cs="Times New Roman"/>
        </w:rPr>
        <w:t>https://ccpt.gov.ng/</w:t>
      </w:r>
      <w:r>
        <w:fldChar w:fldCharType="end"/>
      </w:r>
      <w:r>
        <w:rPr>
          <w:rFonts w:ascii="Times New Roman" w:hAnsi="Times New Roman" w:cs="Times New Roman"/>
        </w:rPr>
        <w:t xml:space="preserve"> accessed 30th of September, 2023.</w:t>
      </w:r>
    </w:p>
  </w:footnote>
  <w:footnote w:id="36">
    <w:p w14:paraId="6C48EA5D">
      <w:pPr>
        <w:pStyle w:val="8"/>
        <w:jc w:val="both"/>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Whish, R. and Bailey, D., </w:t>
      </w:r>
      <w:r>
        <w:rPr>
          <w:rFonts w:ascii="Times New Roman" w:hAnsi="Times New Roman" w:cs="Times New Roman"/>
          <w:i/>
        </w:rPr>
        <w:t>Competition Law</w:t>
      </w:r>
      <w:r>
        <w:rPr>
          <w:rFonts w:ascii="Times New Roman" w:hAnsi="Times New Roman" w:cs="Times New Roman"/>
        </w:rPr>
        <w:t>: (7th edn, Oxford: Oxford University Press, 2012) pp. 2-3. See also Oxford Advanced Learners Dictionary: (8th edn,. Oxford: Oxford University Press, 2010) p. 293.</w:t>
      </w:r>
    </w:p>
  </w:footnote>
  <w:footnote w:id="37">
    <w:p w14:paraId="2F3A6F97">
      <w:pPr>
        <w:pStyle w:val="8"/>
        <w:jc w:val="both"/>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Market is an exchange mechanism that brings together sellers and buyers of any commodity or service. It is simply a transaction, not a place where a buyer agrees to pay a price for the product that he buys from a seller.</w:t>
      </w:r>
    </w:p>
  </w:footnote>
  <w:footnote w:id="38">
    <w:p w14:paraId="46F9EB41">
      <w:pPr>
        <w:pStyle w:val="8"/>
        <w:jc w:val="both"/>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A free market economy is an economic system in which the allocation of resources is determined by supply and demand in the free markets and is not directed by government regulation. States which adopt a market economy do so because they consider it to be the form of economic organization which brings the greatest benefit to society.</w:t>
      </w:r>
    </w:p>
  </w:footnote>
  <w:footnote w:id="39">
    <w:p w14:paraId="737598CC">
      <w:pPr>
        <w:pStyle w:val="8"/>
        <w:jc w:val="both"/>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Jones A. and Sufrin, B. </w:t>
      </w:r>
      <w:r>
        <w:rPr>
          <w:rFonts w:ascii="Times New Roman" w:hAnsi="Times New Roman" w:cs="Times New Roman"/>
          <w:i/>
        </w:rPr>
        <w:t xml:space="preserve">European Union Competition </w:t>
      </w:r>
      <w:r>
        <w:rPr>
          <w:rFonts w:ascii="Times New Roman" w:hAnsi="Times New Roman" w:cs="Times New Roman"/>
        </w:rPr>
        <w:t>Law: Text, Cases and Materials. (5th edn. New York: Oxford University Press, 2014) p. 1. Competition law is concerned with anti-competitive agreements (agreements that have as their object or effect the restriction of competition unless they have a redeeming virtue such as the enhancement of economic efficiency), abusive behavior by a monopolist or dominant firm with substantial market power which enables it to behave like a monopolist, mergers, and public restrictions of competition.</w:t>
      </w:r>
    </w:p>
  </w:footnote>
  <w:footnote w:id="40">
    <w:p w14:paraId="74C9A4BD">
      <w:pPr>
        <w:pStyle w:val="8"/>
        <w:jc w:val="both"/>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Smith A</w:t>
      </w:r>
      <w:r>
        <w:rPr>
          <w:rFonts w:ascii="Times New Roman" w:hAnsi="Times New Roman" w:cs="Times New Roman"/>
          <w:i/>
        </w:rPr>
        <w:t>., An Inquiry into the Nature and Causes of the Wealth of Nations, (</w:t>
      </w:r>
      <w:r>
        <w:rPr>
          <w:rFonts w:ascii="Times New Roman" w:hAnsi="Times New Roman" w:cs="Times New Roman"/>
        </w:rPr>
        <w:t>5th edn,. London: Methuen &amp; Co.</w:t>
      </w:r>
    </w:p>
    <w:p w14:paraId="56EAA818">
      <w:pPr>
        <w:pStyle w:val="8"/>
        <w:jc w:val="both"/>
        <w:rPr>
          <w:rFonts w:ascii="Times New Roman" w:hAnsi="Times New Roman" w:cs="Times New Roman"/>
        </w:rPr>
      </w:pPr>
      <w:r>
        <w:rPr>
          <w:rFonts w:ascii="Times New Roman" w:hAnsi="Times New Roman" w:cs="Times New Roman"/>
        </w:rPr>
        <w:t>Ltd, 1776) p. 13.</w:t>
      </w:r>
    </w:p>
  </w:footnote>
  <w:footnote w:id="41">
    <w:p w14:paraId="5B0B3AA9">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He also stressed for the non-interference of trade by governments which is popularly regarded as the concept of free trade. There are both static and dynamic gains associated with free competition. Static gains are those that improve the allocation of resources, by the exclusion of discriminatory measures that are disrupting competition.</w:t>
      </w:r>
    </w:p>
  </w:footnote>
  <w:footnote w:id="42">
    <w:p w14:paraId="4F1DA23C">
      <w:pPr>
        <w:spacing w:line="360" w:lineRule="auto"/>
        <w:rPr>
          <w:rFonts w:ascii="Times New Roman" w:hAnsi="Times New Roman" w:eastAsia="Times New Roman" w:cs="Times New Roman"/>
          <w:sz w:val="20"/>
          <w:szCs w:val="20"/>
        </w:rPr>
      </w:pPr>
      <w:r>
        <w:rPr>
          <w:rStyle w:val="7"/>
          <w:rFonts w:ascii="Times New Roman" w:hAnsi="Times New Roman" w:cs="Times New Roman"/>
          <w:sz w:val="20"/>
          <w:szCs w:val="20"/>
        </w:rPr>
        <w:footnoteRef/>
      </w:r>
      <w:r>
        <w:rPr>
          <w:rFonts w:ascii="Times New Roman" w:hAnsi="Times New Roman" w:cs="Times New Roman"/>
          <w:sz w:val="20"/>
          <w:szCs w:val="20"/>
        </w:rPr>
        <w:t xml:space="preserve"> </w:t>
      </w:r>
      <w:r>
        <w:rPr>
          <w:rFonts w:ascii="Times New Roman" w:hAnsi="Times New Roman" w:cs="Times New Roman"/>
          <w:bCs/>
          <w:color w:val="000000"/>
          <w:sz w:val="20"/>
          <w:szCs w:val="20"/>
        </w:rPr>
        <w:t xml:space="preserve">Isiavwe o. Rosetta; </w:t>
      </w:r>
      <w:r>
        <w:rPr>
          <w:rFonts w:ascii="Times New Roman" w:hAnsi="Times New Roman" w:eastAsia="Times New Roman" w:cs="Times New Roman"/>
          <w:bCs/>
          <w:i/>
          <w:color w:val="000000"/>
          <w:sz w:val="20"/>
          <w:szCs w:val="20"/>
        </w:rPr>
        <w:t xml:space="preserve">Competition law in Nigeria as a necessary pillar for trade policy, </w:t>
      </w:r>
      <w:r>
        <w:rPr>
          <w:rFonts w:ascii="Times New Roman" w:hAnsi="Times New Roman" w:eastAsia="Times New Roman" w:cs="Times New Roman"/>
          <w:bCs/>
          <w:color w:val="000000"/>
          <w:sz w:val="20"/>
          <w:szCs w:val="20"/>
        </w:rPr>
        <w:t>(University of Ibadan, 2015)</w:t>
      </w:r>
      <w:r>
        <w:rPr>
          <w:rFonts w:ascii="Times New Roman" w:hAnsi="Times New Roman" w:eastAsia="Times New Roman" w:cs="Times New Roman"/>
          <w:bCs/>
          <w:i/>
          <w:color w:val="000000"/>
          <w:sz w:val="20"/>
          <w:szCs w:val="20"/>
        </w:rPr>
        <w:t xml:space="preserve"> </w:t>
      </w:r>
      <w:r>
        <w:rPr>
          <w:rFonts w:ascii="Times New Roman" w:hAnsi="Times New Roman" w:eastAsia="Times New Roman" w:cs="Times New Roman"/>
          <w:bCs/>
          <w:color w:val="000000"/>
          <w:sz w:val="20"/>
          <w:szCs w:val="20"/>
        </w:rPr>
        <w:t xml:space="preserve">p. 34. &lt; </w:t>
      </w:r>
      <w:r>
        <w:fldChar w:fldCharType="begin"/>
      </w:r>
      <w:r>
        <w:instrText xml:space="preserve"> HYPERLINK "https://papers.ssrn.com/sol3/papers.cfm?abstract_id=2814933" </w:instrText>
      </w:r>
      <w:r>
        <w:fldChar w:fldCharType="separate"/>
      </w:r>
      <w:r>
        <w:rPr>
          <w:rStyle w:val="10"/>
          <w:rFonts w:ascii="Times New Roman" w:hAnsi="Times New Roman" w:cs="Times New Roman"/>
          <w:sz w:val="20"/>
          <w:szCs w:val="20"/>
        </w:rPr>
        <w:t>Competition Law in Nigeria As a Necessary Pillar for Trade Policy by Rosetta Isiavwe :: SSRN</w:t>
      </w:r>
      <w:r>
        <w:fldChar w:fldCharType="end"/>
      </w:r>
      <w:r>
        <w:rPr>
          <w:rFonts w:ascii="Times New Roman" w:hAnsi="Times New Roman" w:cs="Times New Roman"/>
          <w:sz w:val="20"/>
          <w:szCs w:val="20"/>
        </w:rPr>
        <w:t>&gt; Accessed 1st December, 2023.</w:t>
      </w:r>
    </w:p>
  </w:footnote>
  <w:footnote w:id="43">
    <w:p w14:paraId="3DC97B77">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&lt; </w:t>
      </w:r>
      <w:r>
        <w:fldChar w:fldCharType="begin"/>
      </w:r>
      <w:r>
        <w:instrText xml:space="preserve"> HYPERLINK "https://www.rba.gov.au/publications/rdp/1986/pdf/rdp8607.pdf" </w:instrText>
      </w:r>
      <w:r>
        <w:fldChar w:fldCharType="separate"/>
      </w:r>
      <w:r>
        <w:rPr>
          <w:rStyle w:val="10"/>
          <w:rFonts w:ascii="Times New Roman" w:hAnsi="Times New Roman" w:cs="Times New Roman"/>
        </w:rPr>
        <w:t>https://www.rba.gov.au/publications/rdp/1986/pdf/rdp8607.pdf</w:t>
      </w:r>
      <w:r>
        <w:fldChar w:fldCharType="end"/>
      </w:r>
      <w:r>
        <w:rPr>
          <w:rFonts w:ascii="Times New Roman" w:hAnsi="Times New Roman" w:cs="Times New Roman"/>
        </w:rPr>
        <w:t xml:space="preserve"> &gt; accessed 1st December, 2023.</w:t>
      </w:r>
    </w:p>
  </w:footnote>
  <w:footnote w:id="44">
    <w:p w14:paraId="78A4295C">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fldChar w:fldCharType="begin"/>
      </w:r>
      <w:r>
        <w:instrText xml:space="preserve"> HYPERLINK "https://www-lawyersclubindia-com.cdn.ampproject.org/v/s/www.lawyersclubindia.com/amp/articles/theories-of-consumer-protection-and-its-implications-14914.asp?amp_js_v=a6&amp;amp_gsa=1&amp;usqp=mq331AQIUAKwASCAAgM%3D" \l "aoh=17014281593738&amp;referrer=https%3A%2F%2Fwww.google.com&amp;amp_tf=From%20%251%24s&amp;ampshare=https%3A%2F%2Fwww.lawyersclubindia.com%2Farticles%2Ftheories-of-consumer-protection-and-its-implications-14914.asp" </w:instrText>
      </w:r>
      <w:r>
        <w:fldChar w:fldCharType="separate"/>
      </w:r>
      <w:r>
        <w:rPr>
          <w:rStyle w:val="10"/>
          <w:rFonts w:ascii="Times New Roman" w:hAnsi="Times New Roman" w:cs="Times New Roman"/>
        </w:rPr>
        <w:t>https://www-lawyersclubindia-com.cdn.ampproject.org/v/s/www.lawyersclubindia.com/amp/articles/theories-of-consumer-protection-and-its-implications-14914.asp?amp_js_v=a6&amp;amp_gsa=1&amp;usqp=mq331AQIUAKwASCAAgM%3D#aoh=17014281593738&amp;referrer=https%3A%2F%2Fwww.google.com&amp;amp_tf=From%20%251%24s&amp;ampshare=https%3A%2F%2Fwww.lawyersclubindia.com%2Farticles%2Ftheories-of-consumer-protection-and-its-implications-14914.asp</w:t>
      </w:r>
      <w:r>
        <w:fldChar w:fldCharType="end"/>
      </w:r>
      <w:r>
        <w:rPr>
          <w:rFonts w:ascii="Times New Roman" w:hAnsi="Times New Roman" w:cs="Times New Roman"/>
        </w:rPr>
        <w:t xml:space="preserve"> accessed 1st December , 2023.</w:t>
      </w:r>
    </w:p>
    <w:p w14:paraId="77566F5A">
      <w:pPr>
        <w:pStyle w:val="8"/>
        <w:spacing w:line="360" w:lineRule="auto"/>
        <w:rPr>
          <w:rFonts w:ascii="Times New Roman" w:hAnsi="Times New Roman" w:cs="Times New Roman"/>
        </w:rPr>
      </w:pPr>
    </w:p>
  </w:footnote>
  <w:footnote w:id="45">
    <w:p w14:paraId="05B55857">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Darrow, Peter H, </w:t>
      </w:r>
      <w:r>
        <w:rPr>
          <w:rFonts w:ascii="Times New Roman" w:hAnsi="Times New Roman" w:cs="Times New Roman"/>
          <w:i/>
        </w:rPr>
        <w:t>Commercial Nuisance: A Theory of Consumer Protection: Vol. 33</w:t>
      </w:r>
      <w:r>
        <w:rPr>
          <w:rFonts w:ascii="Times New Roman" w:hAnsi="Times New Roman" w:cs="Times New Roman"/>
        </w:rPr>
        <w:t xml:space="preserve">, Chicago, (University of Chicago Law Review, 1966) &lt; </w:t>
      </w:r>
      <w:r>
        <w:fldChar w:fldCharType="begin"/>
      </w:r>
      <w:r>
        <w:instrText xml:space="preserve"> HYPERLINK "https://chicagounbound.uchicago.edu/cgi/viewcontent.cgi?article=3484&amp;context=uclrev" </w:instrText>
      </w:r>
      <w:r>
        <w:fldChar w:fldCharType="separate"/>
      </w:r>
      <w:r>
        <w:rPr>
          <w:rStyle w:val="10"/>
          <w:rFonts w:ascii="Times New Roman" w:hAnsi="Times New Roman" w:cs="Times New Roman"/>
        </w:rPr>
        <w:t>https://chicagounbound.uchicago.edu/cgi/viewcontent.cgi?article=3484&amp;context=uclrev</w:t>
      </w:r>
      <w:r>
        <w:fldChar w:fldCharType="end"/>
      </w:r>
      <w:r>
        <w:rPr>
          <w:rFonts w:ascii="Times New Roman" w:hAnsi="Times New Roman" w:cs="Times New Roman"/>
        </w:rPr>
        <w:t xml:space="preserve">&gt; Accessed 1st December, 2023. </w:t>
      </w:r>
    </w:p>
  </w:footnote>
  <w:footnote w:id="46">
    <w:p w14:paraId="7F1A5AE5">
      <w:pPr>
        <w:spacing w:after="0" w:line="360" w:lineRule="auto"/>
        <w:rPr>
          <w:rFonts w:ascii="Times New Roman" w:hAnsi="Times New Roman" w:cs="Times New Roman"/>
          <w:sz w:val="20"/>
          <w:szCs w:val="20"/>
        </w:rPr>
      </w:pPr>
      <w:r>
        <w:rPr>
          <w:rStyle w:val="7"/>
          <w:rFonts w:ascii="Times New Roman" w:hAnsi="Times New Roman" w:cs="Times New Roman"/>
          <w:sz w:val="20"/>
          <w:szCs w:val="20"/>
        </w:rPr>
        <w:footnoteRef/>
      </w:r>
      <w:r>
        <w:rPr>
          <w:rFonts w:ascii="Times New Roman" w:hAnsi="Times New Roman" w:cs="Times New Roman"/>
          <w:sz w:val="20"/>
          <w:szCs w:val="20"/>
        </w:rPr>
        <w:t xml:space="preserve"> Spencer N. T., </w:t>
      </w:r>
      <w:r>
        <w:rPr>
          <w:rFonts w:ascii="Times New Roman" w:hAnsi="Times New Roman" w:cs="Times New Roman"/>
          <w:i/>
          <w:sz w:val="20"/>
          <w:szCs w:val="20"/>
        </w:rPr>
        <w:t>the Inequality of Bargaining Power Doctrine: The Problem of Defining Contractual Unfairness: Vol. 8</w:t>
      </w:r>
      <w:r>
        <w:rPr>
          <w:rFonts w:ascii="Times New Roman" w:hAnsi="Times New Roman" w:cs="Times New Roman"/>
          <w:sz w:val="20"/>
          <w:szCs w:val="20"/>
        </w:rPr>
        <w:t>, Oxford, (Oxford University Press, 1988) pp. 17-33.</w:t>
      </w:r>
    </w:p>
  </w:footnote>
  <w:footnote w:id="47">
    <w:p w14:paraId="521FBB75">
      <w:pPr>
        <w:spacing w:after="0" w:line="360" w:lineRule="auto"/>
        <w:rPr>
          <w:rFonts w:ascii="Times New Roman" w:hAnsi="Times New Roman" w:eastAsia="Times New Roman" w:cs="Times New Roman"/>
          <w:sz w:val="20"/>
          <w:szCs w:val="20"/>
        </w:rPr>
      </w:pPr>
      <w:r>
        <w:rPr>
          <w:rStyle w:val="7"/>
          <w:rFonts w:ascii="Times New Roman" w:hAnsi="Times New Roman" w:cs="Times New Roman"/>
          <w:sz w:val="20"/>
          <w:szCs w:val="20"/>
        </w:rPr>
        <w:footnoteRef/>
      </w:r>
      <w:r>
        <w:rPr>
          <w:rFonts w:ascii="Times New Roman" w:hAnsi="Times New Roman" w:cs="Times New Roman"/>
          <w:sz w:val="20"/>
          <w:szCs w:val="20"/>
        </w:rPr>
        <w:t xml:space="preserve"> </w:t>
      </w:r>
      <w:r>
        <w:rPr>
          <w:rFonts w:ascii="Times New Roman" w:hAnsi="Times New Roman" w:eastAsia="Times New Roman" w:cs="Times New Roman"/>
          <w:color w:val="000000"/>
          <w:sz w:val="20"/>
          <w:szCs w:val="20"/>
        </w:rPr>
        <w:t>Roman emperors and medieval monarchs used tariffs to stabilize prices or support local production. For example, to protect corn trade, heavy fines were imposed on anyone directly, deliberately and insidiously stopping supply ships.</w:t>
      </w:r>
    </w:p>
  </w:footnote>
  <w:footnote w:id="48">
    <w:p w14:paraId="2108E64E">
      <w:pPr>
        <w:spacing w:after="0" w:line="240" w:lineRule="auto"/>
        <w:rPr>
          <w:rFonts w:ascii="Times New Roman" w:hAnsi="Times New Roman" w:eastAsia="Times New Roman" w:cs="Times New Roman"/>
          <w:sz w:val="20"/>
          <w:szCs w:val="20"/>
        </w:rPr>
      </w:pPr>
      <w:r>
        <w:rPr>
          <w:rStyle w:val="7"/>
          <w:rFonts w:ascii="Times New Roman" w:hAnsi="Times New Roman" w:cs="Times New Roman"/>
          <w:sz w:val="20"/>
          <w:szCs w:val="20"/>
        </w:rPr>
        <w:footnoteRef/>
      </w:r>
      <w:r>
        <w:rPr>
          <w:rFonts w:ascii="Times New Roman" w:hAnsi="Times New Roman" w:cs="Times New Roman"/>
          <w:sz w:val="20"/>
          <w:szCs w:val="20"/>
        </w:rPr>
        <w:t xml:space="preserve"> </w:t>
      </w:r>
      <w:r>
        <w:rPr>
          <w:rFonts w:ascii="Times New Roman" w:hAnsi="Times New Roman" w:eastAsia="Times New Roman" w:cs="Times New Roman"/>
          <w:color w:val="000000"/>
          <w:sz w:val="20"/>
          <w:szCs w:val="20"/>
        </w:rPr>
        <w:t xml:space="preserve">Wilberforce R.O., </w:t>
      </w:r>
      <w:r>
        <w:rPr>
          <w:rFonts w:ascii="Times New Roman" w:hAnsi="Times New Roman" w:eastAsia="Times New Roman" w:cs="Times New Roman"/>
          <w:color w:val="222222"/>
          <w:sz w:val="20"/>
          <w:szCs w:val="20"/>
        </w:rPr>
        <w:t xml:space="preserve">Campbell, A., Elles, N., and Cooke, R. G; </w:t>
      </w:r>
      <w:r>
        <w:rPr>
          <w:rFonts w:ascii="Times New Roman" w:hAnsi="Times New Roman" w:eastAsia="Times New Roman" w:cs="Times New Roman"/>
          <w:i/>
          <w:iCs/>
          <w:color w:val="000000"/>
          <w:sz w:val="20"/>
          <w:szCs w:val="20"/>
        </w:rPr>
        <w:t>The Law of Restrictive Trade Practices and  Monopolies</w:t>
      </w:r>
      <w:r>
        <w:rPr>
          <w:rFonts w:ascii="Times New Roman" w:hAnsi="Times New Roman" w:eastAsia="Times New Roman" w:cs="Times New Roman"/>
          <w:color w:val="000000"/>
          <w:sz w:val="20"/>
          <w:szCs w:val="20"/>
        </w:rPr>
        <w:t>: (2nd end,. London, Sweet and Maxwell Ltd, 1966) pp. 20-23.</w:t>
      </w:r>
    </w:p>
  </w:footnote>
  <w:footnote w:id="49">
    <w:p w14:paraId="0B89E9AC">
      <w:pPr>
        <w:spacing w:after="0" w:line="240" w:lineRule="auto"/>
        <w:rPr>
          <w:rFonts w:ascii="Times New Roman" w:hAnsi="Times New Roman" w:eastAsia="Times New Roman" w:cs="Times New Roman"/>
          <w:sz w:val="20"/>
          <w:szCs w:val="20"/>
        </w:rPr>
      </w:pPr>
      <w:r>
        <w:rPr>
          <w:rStyle w:val="7"/>
          <w:rFonts w:ascii="Times New Roman" w:hAnsi="Times New Roman" w:cs="Times New Roman"/>
          <w:sz w:val="20"/>
          <w:szCs w:val="20"/>
        </w:rPr>
        <w:footnoteRef/>
      </w:r>
      <w:r>
        <w:rPr>
          <w:rFonts w:ascii="Times New Roman" w:hAnsi="Times New Roman" w:cs="Times New Roman"/>
          <w:sz w:val="20"/>
          <w:szCs w:val="20"/>
        </w:rPr>
        <w:t xml:space="preserve"> </w:t>
      </w:r>
      <w:r>
        <w:rPr>
          <w:rFonts w:ascii="Times New Roman" w:hAnsi="Times New Roman" w:eastAsia="Times New Roman" w:cs="Times New Roman"/>
          <w:color w:val="000000"/>
          <w:sz w:val="20"/>
          <w:szCs w:val="20"/>
        </w:rPr>
        <w:t xml:space="preserve">A “restraint of trade” is simply some kind of agreed provision that is designed to restrain another's trade. See </w:t>
      </w:r>
      <w:r>
        <w:rPr>
          <w:rFonts w:ascii="Times New Roman" w:hAnsi="Times New Roman" w:eastAsia="Times New Roman" w:cs="Times New Roman"/>
          <w:i/>
          <w:iCs/>
          <w:color w:val="000000"/>
          <w:sz w:val="20"/>
          <w:szCs w:val="20"/>
        </w:rPr>
        <w:t xml:space="preserve">Nordenfelt v Maxim, Nordenfelt Gun Co. </w:t>
      </w:r>
      <w:r>
        <w:rPr>
          <w:rFonts w:ascii="Times New Roman" w:hAnsi="Times New Roman" w:eastAsia="Times New Roman" w:cs="Times New Roman"/>
          <w:color w:val="000000"/>
          <w:sz w:val="20"/>
          <w:szCs w:val="20"/>
        </w:rPr>
        <w:t>[1894] AC 535.</w:t>
      </w:r>
    </w:p>
  </w:footnote>
  <w:footnote w:id="50">
    <w:p w14:paraId="7154E3B2">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color w:val="000000"/>
        </w:rPr>
        <w:t>[1414] Hen 55 p. l26.</w:t>
      </w:r>
    </w:p>
  </w:footnote>
  <w:footnote w:id="51">
    <w:p w14:paraId="10E796CF">
      <w:pPr>
        <w:spacing w:after="0" w:line="240" w:lineRule="auto"/>
        <w:rPr>
          <w:rFonts w:ascii="Times New Roman" w:hAnsi="Times New Roman" w:eastAsia="Times New Roman" w:cs="Times New Roman"/>
          <w:color w:val="000000"/>
          <w:sz w:val="20"/>
          <w:szCs w:val="20"/>
        </w:rPr>
      </w:pPr>
      <w:r>
        <w:rPr>
          <w:rStyle w:val="7"/>
          <w:rFonts w:ascii="Times New Roman" w:hAnsi="Times New Roman" w:cs="Times New Roman"/>
          <w:sz w:val="20"/>
          <w:szCs w:val="20"/>
        </w:rPr>
        <w:footnoteRef/>
      </w:r>
      <w:r>
        <w:rPr>
          <w:rFonts w:ascii="Times New Roman" w:hAnsi="Times New Roman" w:cs="Times New Roman"/>
          <w:sz w:val="20"/>
          <w:szCs w:val="20"/>
        </w:rPr>
        <w:t xml:space="preserve"> </w:t>
      </w:r>
      <w:r>
        <w:rPr>
          <w:rFonts w:ascii="Times New Roman" w:hAnsi="Times New Roman" w:eastAsia="Times New Roman" w:cs="Times New Roman"/>
          <w:color w:val="000000"/>
          <w:sz w:val="20"/>
          <w:szCs w:val="20"/>
        </w:rPr>
        <w:t xml:space="preserve">[1602] 11 Co Rep 84. See also, </w:t>
      </w:r>
      <w:r>
        <w:rPr>
          <w:rFonts w:ascii="Times New Roman" w:hAnsi="Times New Roman" w:eastAsia="Times New Roman" w:cs="Times New Roman"/>
          <w:i/>
          <w:iCs/>
          <w:color w:val="000000"/>
          <w:sz w:val="20"/>
          <w:szCs w:val="20"/>
        </w:rPr>
        <w:t xml:space="preserve">Rogers v Parrey </w:t>
      </w:r>
      <w:r>
        <w:rPr>
          <w:rFonts w:ascii="Times New Roman" w:hAnsi="Times New Roman" w:eastAsia="Times New Roman" w:cs="Times New Roman"/>
          <w:color w:val="000000"/>
          <w:sz w:val="20"/>
          <w:szCs w:val="20"/>
        </w:rPr>
        <w:t>[1613] 80 ER 1012 where it was held that a joiner who promised not to trade from his house for twenty-one (21) years could have this bond enforced against him since the time and place was certain.</w:t>
      </w:r>
    </w:p>
  </w:footnote>
  <w:footnote w:id="52">
    <w:p w14:paraId="2C5E56B1">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iCs/>
          <w:color w:val="000000"/>
        </w:rPr>
        <w:t xml:space="preserve">Standard Oil Co v FTC </w:t>
      </w:r>
      <w:r>
        <w:rPr>
          <w:rFonts w:ascii="Times New Roman" w:hAnsi="Times New Roman" w:cs="Times New Roman"/>
          <w:color w:val="000000"/>
        </w:rPr>
        <w:t>[1951]340 US 231, 249.</w:t>
      </w:r>
    </w:p>
  </w:footnote>
  <w:footnote w:id="53">
    <w:p w14:paraId="05030735">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eastAsia="Times New Roman" w:cs="Times New Roman"/>
          <w:color w:val="000000"/>
        </w:rPr>
        <w:t>Competition Commission of India</w:t>
      </w:r>
      <w:r>
        <w:rPr>
          <w:rFonts w:ascii="Times New Roman" w:hAnsi="Times New Roman" w:cs="Times New Roman"/>
          <w:color w:val="000000"/>
        </w:rPr>
        <w:t xml:space="preserve">, hereinafter, “CCI” Case No: 29/2010, a judgment delivered on 20 June, 2012 by Mr. Devender Kumar Sikri and five others. </w:t>
      </w:r>
    </w:p>
  </w:footnote>
  <w:footnote w:id="54">
    <w:p w14:paraId="554DC9F1">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Hereinafter referred as “CCI”.</w:t>
      </w:r>
    </w:p>
  </w:footnote>
  <w:footnote w:id="55">
    <w:p w14:paraId="7E62D99E">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color w:val="000000"/>
        </w:rPr>
        <w:t>CCI Case No: 1 of 2009, a judgment delivered by Dhanendra Kumar (Chairman) and 6 other members on 25 May, 2011.</w:t>
      </w:r>
    </w:p>
  </w:footnote>
  <w:footnote w:id="56">
    <w:p w14:paraId="3F74B896">
      <w:pPr>
        <w:pStyle w:val="8"/>
        <w:spacing w:line="360" w:lineRule="auto"/>
        <w:rPr>
          <w:rFonts w:ascii="Times New Roman" w:hAnsi="Times New Roman" w:cs="Times New Roman"/>
          <w:i/>
        </w:rPr>
      </w:pPr>
      <w:r>
        <w:rPr>
          <w:rStyle w:val="7"/>
          <w:rFonts w:ascii="Times New Roman" w:hAnsi="Times New Roman" w:cs="Times New Roman"/>
        </w:rPr>
        <w:footnoteRef/>
      </w:r>
      <w:r>
        <w:rPr>
          <w:rFonts w:ascii="Times New Roman" w:hAnsi="Times New Roman" w:cs="Times New Roman"/>
        </w:rPr>
        <w:t xml:space="preserve"> MRTP </w:t>
      </w:r>
      <w:r>
        <w:rPr>
          <w:rFonts w:ascii="Times New Roman" w:hAnsi="Times New Roman" w:cs="Times New Roman"/>
          <w:color w:val="000000"/>
        </w:rPr>
        <w:t xml:space="preserve">Case: RTPE No: 20 of 2008, a judgment delivered on 30 October, 2012 </w:t>
      </w:r>
      <w:r>
        <w:rPr>
          <w:rFonts w:ascii="Times New Roman" w:hAnsi="Times New Roman" w:cs="Times New Roman"/>
          <w:i/>
          <w:color w:val="000000"/>
        </w:rPr>
        <w:t xml:space="preserve">per </w:t>
      </w:r>
      <w:r>
        <w:rPr>
          <w:rFonts w:ascii="Times New Roman" w:hAnsi="Times New Roman" w:cs="Times New Roman"/>
          <w:color w:val="000000"/>
        </w:rPr>
        <w:t>Ashok Chawla (Chairperson) and four others.</w:t>
      </w:r>
    </w:p>
  </w:footnote>
  <w:footnote w:id="57">
    <w:p w14:paraId="273BDE6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This practice is prohibited under section 72(2) (d) (iv) of FCCPA,.</w:t>
      </w:r>
    </w:p>
  </w:footnote>
  <w:footnote w:id="58">
    <w:p w14:paraId="5572B86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fldChar w:fldCharType="begin"/>
      </w:r>
      <w:r>
        <w:instrText xml:space="preserve"> HYPERLINK "https://open.lib.umn.edu/principleseconomics/chapter/9-1-perfect-competition-a-model/" </w:instrText>
      </w:r>
      <w:r>
        <w:fldChar w:fldCharType="separate"/>
      </w:r>
      <w:r>
        <w:rPr>
          <w:rStyle w:val="10"/>
          <w:rFonts w:ascii="Times New Roman" w:hAnsi="Times New Roman" w:cs="Times New Roman"/>
        </w:rPr>
        <w:t>https://open.lib.umn.edu/principleseconomics/chapter/9-1-perfect-competition-a-model/</w:t>
      </w:r>
      <w:r>
        <w:fldChar w:fldCharType="end"/>
      </w:r>
      <w:r>
        <w:rPr>
          <w:rFonts w:ascii="Times New Roman" w:hAnsi="Times New Roman" w:cs="Times New Roman"/>
        </w:rPr>
        <w:t>&gt; accessed 1st December, 2023.</w:t>
      </w:r>
    </w:p>
  </w:footnote>
  <w:footnote w:id="59">
    <w:p w14:paraId="785494E2">
      <w:pPr>
        <w:spacing w:line="360" w:lineRule="auto"/>
        <w:rPr>
          <w:rFonts w:ascii="Times New Roman" w:hAnsi="Times New Roman" w:eastAsia="Times New Roman" w:cs="Times New Roman"/>
          <w:sz w:val="20"/>
          <w:szCs w:val="20"/>
        </w:rPr>
      </w:pPr>
      <w:r>
        <w:rPr>
          <w:rStyle w:val="7"/>
          <w:rFonts w:ascii="Times New Roman" w:hAnsi="Times New Roman" w:cs="Times New Roman"/>
          <w:sz w:val="20"/>
          <w:szCs w:val="20"/>
        </w:rPr>
        <w:footnoteRef/>
      </w:r>
      <w:r>
        <w:rPr>
          <w:rFonts w:ascii="Times New Roman" w:hAnsi="Times New Roman" w:cs="Times New Roman"/>
          <w:sz w:val="20"/>
          <w:szCs w:val="20"/>
        </w:rPr>
        <w:t xml:space="preserve"> </w:t>
      </w:r>
      <w:r>
        <w:rPr>
          <w:rFonts w:ascii="Times New Roman" w:hAnsi="Times New Roman" w:eastAsia="Times New Roman" w:cs="Times New Roman"/>
          <w:color w:val="000000"/>
          <w:sz w:val="20"/>
          <w:szCs w:val="20"/>
        </w:rPr>
        <w:t xml:space="preserve">Monopoly is the opposite gamut of perfect competition in the market. It is a market where there is only one seller. Theory predicts that as a firm is not constrained by any competitors, it will price as high as possible. See </w:t>
      </w:r>
      <w:r>
        <w:rPr>
          <w:rFonts w:ascii="Times New Roman" w:hAnsi="Times New Roman" w:cs="Times New Roman"/>
          <w:bCs/>
          <w:color w:val="000000"/>
          <w:sz w:val="20"/>
          <w:szCs w:val="20"/>
        </w:rPr>
        <w:t xml:space="preserve">Isiavwe o. Rosetta; </w:t>
      </w:r>
      <w:r>
        <w:rPr>
          <w:rFonts w:ascii="Times New Roman" w:hAnsi="Times New Roman" w:eastAsia="Times New Roman" w:cs="Times New Roman"/>
          <w:bCs/>
          <w:i/>
          <w:color w:val="000000"/>
          <w:sz w:val="20"/>
          <w:szCs w:val="20"/>
        </w:rPr>
        <w:t xml:space="preserve">Competition law in Nigeria as a necessary pillar for trade policy, </w:t>
      </w:r>
      <w:r>
        <w:rPr>
          <w:rFonts w:ascii="Times New Roman" w:hAnsi="Times New Roman" w:eastAsia="Times New Roman" w:cs="Times New Roman"/>
          <w:bCs/>
          <w:color w:val="000000"/>
          <w:sz w:val="20"/>
          <w:szCs w:val="20"/>
        </w:rPr>
        <w:t>(University of Ibanadn, 2015)</w:t>
      </w:r>
      <w:r>
        <w:rPr>
          <w:rFonts w:ascii="Times New Roman" w:hAnsi="Times New Roman" w:eastAsia="Times New Roman" w:cs="Times New Roman"/>
          <w:bCs/>
          <w:i/>
          <w:color w:val="000000"/>
          <w:sz w:val="20"/>
          <w:szCs w:val="20"/>
        </w:rPr>
        <w:t xml:space="preserve"> </w:t>
      </w:r>
      <w:r>
        <w:rPr>
          <w:rFonts w:ascii="Times New Roman" w:hAnsi="Times New Roman" w:eastAsia="Times New Roman" w:cs="Times New Roman"/>
          <w:bCs/>
          <w:color w:val="000000"/>
          <w:sz w:val="20"/>
          <w:szCs w:val="20"/>
        </w:rPr>
        <w:t xml:space="preserve">p. 28. &lt; </w:t>
      </w:r>
      <w:r>
        <w:fldChar w:fldCharType="begin"/>
      </w:r>
      <w:r>
        <w:instrText xml:space="preserve"> HYPERLINK "https://papers.ssrn.com/sol3/papers.cfm?abstract_id=2814933" </w:instrText>
      </w:r>
      <w:r>
        <w:fldChar w:fldCharType="separate"/>
      </w:r>
      <w:r>
        <w:rPr>
          <w:rStyle w:val="10"/>
          <w:rFonts w:ascii="Times New Roman" w:hAnsi="Times New Roman" w:cs="Times New Roman"/>
          <w:sz w:val="20"/>
          <w:szCs w:val="20"/>
        </w:rPr>
        <w:t>Competition Law in Nigeria As a Necessary Pillar for Trade Policy by Rosetta Isiavwe :: SSRN</w:t>
      </w:r>
      <w:r>
        <w:fldChar w:fldCharType="end"/>
      </w:r>
      <w:r>
        <w:rPr>
          <w:rFonts w:ascii="Times New Roman" w:hAnsi="Times New Roman" w:cs="Times New Roman"/>
          <w:sz w:val="20"/>
          <w:szCs w:val="20"/>
        </w:rPr>
        <w:t>&gt; Accessed 1st December, 2023.</w:t>
      </w:r>
    </w:p>
  </w:footnote>
  <w:footnote w:id="60">
    <w:p w14:paraId="51373567">
      <w:pPr>
        <w:pStyle w:val="8"/>
        <w:spacing w:line="360" w:lineRule="auto"/>
        <w:rPr>
          <w:rFonts w:ascii="Times New Roman" w:hAnsi="Times New Roman" w:cs="Times New Roman"/>
          <w:i/>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p. 28</w:t>
      </w:r>
      <w:r>
        <w:rPr>
          <w:rFonts w:ascii="Times New Roman" w:hAnsi="Times New Roman" w:cs="Times New Roman"/>
          <w:i/>
        </w:rPr>
        <w:t>.</w:t>
      </w:r>
    </w:p>
  </w:footnote>
  <w:footnote w:id="61">
    <w:p w14:paraId="61D94F1B">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Das T. and Kumar U., </w:t>
      </w:r>
      <w:r>
        <w:rPr>
          <w:rFonts w:ascii="Times New Roman" w:hAnsi="Times New Roman" w:cs="Times New Roman"/>
          <w:i/>
        </w:rPr>
        <w:t>Competition Policy and Law Made Easy. Monographs on Investment and Competition Policy : vol. 8</w:t>
      </w:r>
      <w:r>
        <w:rPr>
          <w:rFonts w:ascii="Times New Roman" w:hAnsi="Times New Roman" w:cs="Times New Roman"/>
        </w:rPr>
        <w:t>, Jhotwara (Jaipur Printer, 2001) pp.8-9.</w:t>
      </w:r>
    </w:p>
  </w:footnote>
  <w:footnote w:id="62">
    <w:p w14:paraId="02287ACF">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88.</w:t>
      </w:r>
    </w:p>
  </w:footnote>
  <w:footnote w:id="63">
    <w:p w14:paraId="65EC63C3">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39.</w:t>
      </w:r>
    </w:p>
  </w:footnote>
  <w:footnote w:id="64">
    <w:p w14:paraId="1E245AE0">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76.</w:t>
      </w:r>
    </w:p>
  </w:footnote>
  <w:footnote w:id="65">
    <w:p w14:paraId="4C53FB2E">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Cap 29, LFN 2004. </w:t>
      </w:r>
    </w:p>
  </w:footnote>
  <w:footnote w:id="66">
    <w:p w14:paraId="37772695">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94(4).</w:t>
      </w:r>
    </w:p>
  </w:footnote>
  <w:footnote w:id="67">
    <w:p w14:paraId="35D2C375">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92(4).</w:t>
      </w:r>
    </w:p>
  </w:footnote>
  <w:footnote w:id="68">
    <w:p w14:paraId="0FEE209C">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Ibid, Part IX, s. 70(1) </w:t>
      </w:r>
    </w:p>
  </w:footnote>
  <w:footnote w:id="69">
    <w:p w14:paraId="4AB29141">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Market conduct and performance &lt; https://www.britannica.com/money/topic/monopoly-economics/Perfect-competition &gt; accessed 2nd October, 2023.</w:t>
      </w:r>
    </w:p>
  </w:footnote>
  <w:footnote w:id="70">
    <w:p w14:paraId="796DE7DB">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78.</w:t>
      </w:r>
    </w:p>
  </w:footnote>
  <w:footnote w:id="71">
    <w:p w14:paraId="6CFC9A8D">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Ibid, s. 72(2).</w:t>
      </w:r>
    </w:p>
  </w:footnote>
  <w:footnote w:id="72">
    <w:p w14:paraId="60969074">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Ibid, s. 85.</w:t>
      </w:r>
    </w:p>
  </w:footnote>
  <w:footnote w:id="73">
    <w:p w14:paraId="10C135EC">
      <w:pPr>
        <w:pStyle w:val="8"/>
        <w:tabs>
          <w:tab w:val="left" w:pos="1941"/>
        </w:tabs>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Ibid,</w:t>
      </w:r>
      <w:r>
        <w:rPr>
          <w:rFonts w:ascii="Times New Roman" w:hAnsi="Times New Roman" w:cs="Times New Roman"/>
        </w:rPr>
        <w:t xml:space="preserve"> s 114.</w:t>
      </w:r>
      <w:r>
        <w:rPr>
          <w:rFonts w:ascii="Times New Roman" w:hAnsi="Times New Roman" w:cs="Times New Roman"/>
        </w:rPr>
        <w:tab/>
      </w:r>
    </w:p>
  </w:footnote>
  <w:footnote w:id="74">
    <w:p w14:paraId="2C98FE5B">
      <w:pPr>
        <w:pStyle w:val="8"/>
        <w:spacing w:line="360" w:lineRule="auto"/>
        <w:rPr>
          <w:rFonts w:ascii="Times New Roman" w:hAnsi="Times New Roman" w:cs="Times New Roman"/>
          <w:i/>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116.</w:t>
      </w:r>
    </w:p>
  </w:footnote>
  <w:footnote w:id="75">
    <w:p w14:paraId="29C6394A">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117.</w:t>
      </w:r>
    </w:p>
  </w:footnote>
  <w:footnote w:id="76">
    <w:p w14:paraId="2C3A93F8">
      <w:pPr>
        <w:pStyle w:val="8"/>
        <w:spacing w:line="360" w:lineRule="auto"/>
        <w:rPr>
          <w:rFonts w:ascii="Times New Roman" w:hAnsi="Times New Roman" w:cs="Times New Roman"/>
          <w:i/>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s </w:t>
      </w:r>
      <w:r>
        <w:rPr>
          <w:rFonts w:ascii="Times New Roman" w:hAnsi="Times New Roman" w:cs="Times New Roman"/>
        </w:rPr>
        <w:t>119</w:t>
      </w:r>
      <w:r>
        <w:rPr>
          <w:rFonts w:ascii="Times New Roman" w:hAnsi="Times New Roman" w:cs="Times New Roman"/>
          <w:i/>
        </w:rPr>
        <w:t>.</w:t>
      </w:r>
    </w:p>
  </w:footnote>
  <w:footnote w:id="77">
    <w:p w14:paraId="294343AA">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120.</w:t>
      </w:r>
    </w:p>
  </w:footnote>
  <w:footnote w:id="78">
    <w:p w14:paraId="7E09D9A7">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119.</w:t>
      </w:r>
    </w:p>
  </w:footnote>
  <w:footnote w:id="79">
    <w:p w14:paraId="27DD7332">
      <w:pPr>
        <w:pStyle w:val="8"/>
        <w:spacing w:line="360" w:lineRule="auto"/>
        <w:rPr>
          <w:rFonts w:ascii="Times New Roman" w:hAnsi="Times New Roman" w:cs="Times New Roman"/>
          <w:i/>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122(1)(b).</w:t>
      </w:r>
    </w:p>
  </w:footnote>
  <w:footnote w:id="80">
    <w:p w14:paraId="1AE613DA">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124.</w:t>
      </w:r>
    </w:p>
  </w:footnote>
  <w:footnote w:id="81">
    <w:p w14:paraId="72AD2DE3">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125.</w:t>
      </w:r>
    </w:p>
  </w:footnote>
  <w:footnote w:id="82">
    <w:p w14:paraId="5AFBBA59">
      <w:pPr>
        <w:pStyle w:val="8"/>
        <w:rPr>
          <w:rFonts w:ascii="Times New Roman" w:hAnsi="Times New Roman" w:cs="Times New Roman"/>
          <w:b/>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130.</w:t>
      </w:r>
    </w:p>
  </w:footnote>
  <w:footnote w:id="83">
    <w:p w14:paraId="2348C15E">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131.</w:t>
      </w:r>
    </w:p>
  </w:footnote>
  <w:footnote w:id="84">
    <w:p w14:paraId="239B6BA5">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146.</w:t>
      </w:r>
    </w:p>
  </w:footnote>
  <w:footnote w:id="85">
    <w:p w14:paraId="301F0963">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Inter alia</w:t>
      </w:r>
      <w:r>
        <w:rPr>
          <w:rFonts w:ascii="Times New Roman" w:hAnsi="Times New Roman" w:cs="Times New Roman"/>
        </w:rPr>
        <w:t>, alternative dispute resolution through mediation or conciliation: the FCCPA, s. 151.</w:t>
      </w:r>
    </w:p>
  </w:footnote>
  <w:footnote w:id="86">
    <w:p w14:paraId="2A3B2274">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Ibid</w:t>
      </w:r>
      <w:r>
        <w:rPr>
          <w:rFonts w:ascii="Times New Roman" w:hAnsi="Times New Roman" w:cs="Times New Roman"/>
        </w:rPr>
        <w:t>, s. 148.</w:t>
      </w:r>
    </w:p>
  </w:footnote>
  <w:footnote w:id="87">
    <w:p w14:paraId="7917822D">
      <w:pPr>
        <w:pStyle w:val="8"/>
        <w:spacing w:line="360" w:lineRule="auto"/>
        <w:rPr>
          <w:rFonts w:ascii="Times New Roman" w:hAnsi="Times New Roman" w:cs="Times New Roman"/>
        </w:rPr>
      </w:pPr>
    </w:p>
  </w:footnote>
  <w:footnote w:id="88">
    <w:p w14:paraId="0D2E8D14">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Felicia Monye</w:t>
      </w:r>
      <w:r>
        <w:rPr>
          <w:rFonts w:ascii="Times New Roman" w:hAnsi="Times New Roman" w:cs="Times New Roman"/>
          <w:i/>
        </w:rPr>
        <w:t>, Law of Consumer Protection: vol. 2: civil liability,</w:t>
      </w:r>
      <w:r>
        <w:rPr>
          <w:rFonts w:ascii="Times New Roman" w:hAnsi="Times New Roman" w:cs="Times New Roman"/>
        </w:rPr>
        <w:t xml:space="preserve"> Ibandan:</w:t>
      </w:r>
      <w:r>
        <w:rPr>
          <w:rFonts w:ascii="Times New Roman" w:hAnsi="Times New Roman" w:cs="Times New Roman"/>
          <w:i/>
        </w:rPr>
        <w:t xml:space="preserve"> </w:t>
      </w:r>
      <w:r>
        <w:rPr>
          <w:rFonts w:ascii="Times New Roman" w:hAnsi="Times New Roman" w:cs="Times New Roman"/>
        </w:rPr>
        <w:t>(2nd edn, Kraft Books Limited, Sango, 2021) p. 265.</w:t>
      </w:r>
    </w:p>
  </w:footnote>
  <w:footnote w:id="89">
    <w:p w14:paraId="69B7B12E">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The Tribunal can as well make an order for Sale of Asset under section 52 of FCCPA, 2018.</w:t>
      </w:r>
    </w:p>
  </w:footnote>
  <w:footnote w:id="90">
    <w:p w14:paraId="13BAB05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fldChar w:fldCharType="begin"/>
      </w:r>
      <w:r>
        <w:instrText xml:space="preserve"> HYPERLINK "https://www.freiheit.org/middle-east-and-north-africa/approaches-and-challenges-implementing-competition-law-and-policy-arab" </w:instrText>
      </w:r>
      <w:r>
        <w:fldChar w:fldCharType="separate"/>
      </w:r>
      <w:r>
        <w:rPr>
          <w:rStyle w:val="10"/>
          <w:rFonts w:ascii="Times New Roman" w:hAnsi="Times New Roman" w:cs="Times New Roman"/>
        </w:rPr>
        <w:t>https://www.freiheit.org/middle-east-and-north-africa/approaches-and-challenges-implementing-competition-law-and-policy-arab</w:t>
      </w:r>
      <w:r>
        <w:fldChar w:fldCharType="end"/>
      </w:r>
      <w:r>
        <w:rPr>
          <w:rFonts w:ascii="Times New Roman" w:hAnsi="Times New Roman" w:cs="Times New Roman"/>
        </w:rPr>
        <w:t>&gt; accessed 2nd October, 2023</w:t>
      </w:r>
    </w:p>
  </w:footnote>
  <w:footnote w:id="91">
    <w:p w14:paraId="47661AAB">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2018, s. 168.</w:t>
      </w:r>
    </w:p>
  </w:footnote>
  <w:footnote w:id="92">
    <w:p w14:paraId="0F59BB1A">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Bukola Akinbola and Enyinnaya Uwadi, </w:t>
      </w:r>
      <w:r>
        <w:rPr>
          <w:rFonts w:ascii="Times New Roman" w:hAnsi="Times New Roman" w:cs="Times New Roman"/>
          <w:i/>
        </w:rPr>
        <w:t xml:space="preserve">Antitrust as a Panacea for Economic Development, </w:t>
      </w:r>
      <w:r>
        <w:rPr>
          <w:rFonts w:ascii="Times New Roman" w:hAnsi="Times New Roman" w:cs="Times New Roman"/>
        </w:rPr>
        <w:t>(Ibadan: University of Law Conference, 2016) p. 110.</w:t>
      </w:r>
    </w:p>
  </w:footnote>
  <w:footnote w:id="93">
    <w:p w14:paraId="0810BA0E">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Nnamdi Dimgba, </w:t>
      </w:r>
      <w:r>
        <w:rPr>
          <w:rStyle w:val="5"/>
          <w:rFonts w:ascii="Times New Roman" w:hAnsi="Times New Roman" w:cs="Times New Roman"/>
        </w:rPr>
        <w:t>the Changing Landscape: Federal Competition and Consumer Protection Act</w:t>
      </w:r>
      <w:r>
        <w:rPr>
          <w:rFonts w:ascii="Times New Roman" w:hAnsi="Times New Roman" w:cs="Times New Roman"/>
        </w:rPr>
        <w:t xml:space="preserve"> (Victoria Island Lagos, 2019)&lt; </w:t>
      </w:r>
      <w:r>
        <w:fldChar w:fldCharType="begin"/>
      </w:r>
      <w:r>
        <w:instrText xml:space="preserve"> HYPERLINK "https://jee.africa/wp-content/uploads/2019/07/Changing-Landscape-Federal-Competition-and-Consumer-Protection-Act.pdf" </w:instrText>
      </w:r>
      <w:r>
        <w:fldChar w:fldCharType="separate"/>
      </w:r>
      <w:r>
        <w:rPr>
          <w:rStyle w:val="10"/>
          <w:rFonts w:ascii="Times New Roman" w:hAnsi="Times New Roman" w:cs="Times New Roman"/>
        </w:rPr>
        <w:t>https://jee.africa/wp-content/uploads/2019/07/Changing-Landscape-Federal-Competition-and-Consumer-Protection-Act.pdf</w:t>
      </w:r>
      <w:r>
        <w:fldChar w:fldCharType="end"/>
      </w:r>
      <w:r>
        <w:rPr>
          <w:rFonts w:ascii="Times New Roman" w:hAnsi="Times New Roman" w:cs="Times New Roman"/>
        </w:rPr>
        <w:t>&gt; Accessed 1st December, 2023.</w:t>
      </w:r>
    </w:p>
  </w:footnote>
  <w:footnote w:id="94">
    <w:p w14:paraId="49AFE51C">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However, by virtue of section 104 of the FCCPA, the Commission will have overriding judgment. </w:t>
      </w:r>
    </w:p>
  </w:footnote>
  <w:footnote w:id="95">
    <w:p w14:paraId="4683D4DD">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ISA, ss. 118-128.</w:t>
      </w:r>
    </w:p>
  </w:footnote>
  <w:footnote w:id="96">
    <w:p w14:paraId="69389B11">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Legal framework &lt;</w:t>
      </w:r>
      <w:r>
        <w:fldChar w:fldCharType="begin"/>
      </w:r>
      <w:r>
        <w:instrText xml:space="preserve"> HYPERLINK "https://resourcegovernance.org/sites/default/files/nrgi_Legal-Framework.pdf" </w:instrText>
      </w:r>
      <w:r>
        <w:fldChar w:fldCharType="separate"/>
      </w:r>
      <w:r>
        <w:rPr>
          <w:rStyle w:val="10"/>
          <w:rFonts w:ascii="Times New Roman" w:hAnsi="Times New Roman" w:cs="Times New Roman"/>
        </w:rPr>
        <w:t>https://resourcegovernance.org/sites/default/files/nrgi_Legal-Framework.pdf</w:t>
      </w:r>
      <w:r>
        <w:fldChar w:fldCharType="end"/>
      </w:r>
      <w:r>
        <w:rPr>
          <w:rFonts w:ascii="Times New Roman" w:hAnsi="Times New Roman" w:cs="Times New Roman"/>
        </w:rPr>
        <w:t>&gt; accessed 3rd October, 2023.</w:t>
      </w:r>
    </w:p>
  </w:footnote>
  <w:footnote w:id="97">
    <w:p w14:paraId="069EBD77">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Cap C23 LFN 2004, hereinafter, “the Constitution”</w:t>
      </w:r>
    </w:p>
  </w:footnote>
  <w:footnote w:id="98">
    <w:p w14:paraId="0DAC27BE">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B.A Garner; </w:t>
      </w:r>
      <w:r>
        <w:rPr>
          <w:rFonts w:ascii="Times New Roman" w:hAnsi="Times New Roman" w:cs="Times New Roman"/>
          <w:i/>
        </w:rPr>
        <w:t>Black’s Law Dictionary</w:t>
      </w:r>
      <w:r>
        <w:rPr>
          <w:rFonts w:ascii="Times New Roman" w:hAnsi="Times New Roman" w:cs="Times New Roman"/>
        </w:rPr>
        <w:t>, (8th edn, St Paul Minn: West Publishing Co. Ltd, 2004) p. 330.</w:t>
      </w:r>
    </w:p>
  </w:footnote>
  <w:footnote w:id="99">
    <w:p w14:paraId="09C378A5">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O. Okpara; </w:t>
      </w:r>
      <w:r>
        <w:rPr>
          <w:rFonts w:ascii="Times New Roman" w:hAnsi="Times New Roman" w:cs="Times New Roman"/>
          <w:i/>
        </w:rPr>
        <w:t>Human Rights Law &amp; Practice in Nigeria</w:t>
      </w:r>
      <w:r>
        <w:rPr>
          <w:rFonts w:ascii="Times New Roman" w:hAnsi="Times New Roman" w:cs="Times New Roman"/>
        </w:rPr>
        <w:t>, (Enugu Chengle Limited 2005), p. 330.</w:t>
      </w:r>
    </w:p>
  </w:footnote>
  <w:footnote w:id="100">
    <w:p w14:paraId="34F2AC1A">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i/>
        </w:rPr>
        <w:t>Ransome Kuti &amp; Ors v A.G. Federation &amp; Ors</w:t>
      </w:r>
      <w:r>
        <w:rPr>
          <w:rFonts w:ascii="Times New Roman" w:hAnsi="Times New Roman" w:cs="Times New Roman"/>
        </w:rPr>
        <w:t xml:space="preserve"> [1985] 2 NWLR (pt.6), p. 211 at 246.</w:t>
      </w:r>
    </w:p>
  </w:footnote>
  <w:footnote w:id="101">
    <w:p w14:paraId="1636CBB5">
      <w:pPr>
        <w:pStyle w:val="8"/>
        <w:jc w:val="both"/>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Garba v. Unimaid</w:t>
      </w:r>
      <w:r>
        <w:rPr>
          <w:rFonts w:ascii="Times New Roman" w:hAnsi="Times New Roman" w:cs="Times New Roman"/>
        </w:rPr>
        <w:t xml:space="preserve"> [1986] 1NWLR 550 at 583 </w:t>
      </w:r>
      <w:r>
        <w:rPr>
          <w:rFonts w:ascii="Times New Roman" w:hAnsi="Times New Roman" w:cs="Times New Roman"/>
          <w:i/>
        </w:rPr>
        <w:t>per</w:t>
      </w:r>
      <w:r>
        <w:rPr>
          <w:rFonts w:ascii="Times New Roman" w:hAnsi="Times New Roman" w:cs="Times New Roman"/>
        </w:rPr>
        <w:t xml:space="preserve"> Obaseki JSC.</w:t>
      </w:r>
    </w:p>
  </w:footnote>
  <w:footnote w:id="102">
    <w:p w14:paraId="3C21975E">
      <w:pPr>
        <w:pStyle w:val="8"/>
        <w:jc w:val="both"/>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Before the mid-twentieth century, consumers had limited rights with regard to their interaction with products and commercial producers. Consumers had limited ground on which to defend themselves against faulty or defective products, or against misleading or deceptive advertising methods. During Kennedy's election campaign, he made a promise to support consumers. On March 15, 1962, President John F. Kennedy presented a speech to the United States Congress in which he extolled four basic consumer rights, later called the Consumer Bill of Rights. The United Nations through the United Nations Guidelines for Consumer Protection expanded these into eight rights, and thereafter Consumers International adopted these rights as a charter and started recognizing March 15 as World Consumer Rights Day. See Pat Brown, Oral History Transcript and related Material, 1982 &lt; </w:t>
      </w:r>
      <w:r>
        <w:fldChar w:fldCharType="begin"/>
      </w:r>
      <w:r>
        <w:instrText xml:space="preserve"> HYPERLINK "https://archive.org/details/patbrownfriends00rfryrich" </w:instrText>
      </w:r>
      <w:r>
        <w:fldChar w:fldCharType="separate"/>
      </w:r>
      <w:r>
        <w:rPr>
          <w:rStyle w:val="10"/>
          <w:rFonts w:ascii="Times New Roman" w:hAnsi="Times New Roman" w:cs="Times New Roman"/>
        </w:rPr>
        <w:t>https://archive.org/details/patbrownfriends00rfryrich</w:t>
      </w:r>
      <w:r>
        <w:fldChar w:fldCharType="end"/>
      </w:r>
      <w:r>
        <w:rPr>
          <w:rFonts w:ascii="Times New Roman" w:hAnsi="Times New Roman" w:cs="Times New Roman"/>
        </w:rPr>
        <w:t xml:space="preserve">&gt;. See also, </w:t>
      </w:r>
      <w:r>
        <w:rPr>
          <w:rFonts w:ascii="Times New Roman" w:hAnsi="Times New Roman" w:cs="Times New Roman"/>
          <w:lang w:val="en-GB"/>
        </w:rPr>
        <w:t>Special message to the congress on protecting the consumer interest, 1962 &lt;</w:t>
      </w:r>
      <w:r>
        <w:rPr>
          <w:rFonts w:ascii="Times New Roman" w:hAnsi="Times New Roman" w:cs="Times New Roman"/>
        </w:rPr>
        <w:t xml:space="preserve"> </w:t>
      </w:r>
      <w:r>
        <w:fldChar w:fldCharType="begin"/>
      </w:r>
      <w:r>
        <w:instrText xml:space="preserve"> HYPERLINK "https://web.archive.org/web/20180914022813/http://www.presidency.ucsb.edu/ws/?pid=9108" </w:instrText>
      </w:r>
      <w:r>
        <w:fldChar w:fldCharType="separate"/>
      </w:r>
      <w:r>
        <w:rPr>
          <w:rStyle w:val="10"/>
          <w:rFonts w:ascii="Times New Roman" w:hAnsi="Times New Roman" w:cs="Times New Roman"/>
          <w:lang w:val="en-GB"/>
        </w:rPr>
        <w:t>https://web.archive.org/web/20180914022813/http://www.presidency.ucsb.edu/ws/?pid=9108</w:t>
      </w:r>
      <w:r>
        <w:fldChar w:fldCharType="end"/>
      </w:r>
      <w:r>
        <w:rPr>
          <w:rFonts w:ascii="Times New Roman" w:hAnsi="Times New Roman" w:cs="Times New Roman"/>
          <w:lang w:val="en-GB"/>
        </w:rPr>
        <w:t xml:space="preserve">&gt; accessed 6th December, 2023. </w:t>
      </w:r>
    </w:p>
  </w:footnote>
  <w:footnote w:id="103">
    <w:p w14:paraId="718B82E9">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The Constitution, s. 4(7).</w:t>
      </w:r>
    </w:p>
  </w:footnote>
  <w:footnote w:id="104">
    <w:p w14:paraId="2C88CC4F">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88 on the power of the Nigeria president resident to regulate prices. </w:t>
      </w:r>
    </w:p>
  </w:footnote>
  <w:footnote w:id="105">
    <w:p w14:paraId="112D89F7">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Ibid</w:t>
      </w:r>
      <w:r>
        <w:rPr>
          <w:rFonts w:ascii="Times New Roman" w:hAnsi="Times New Roman" w:cs="Times New Roman"/>
        </w:rPr>
        <w:t>, s. 1.</w:t>
      </w:r>
    </w:p>
  </w:footnote>
  <w:footnote w:id="106">
    <w:p w14:paraId="03454CA2">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Hereinafter refereed as “the Act”.</w:t>
      </w:r>
    </w:p>
  </w:footnote>
  <w:footnote w:id="107">
    <w:p w14:paraId="49692BA0">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Tribunal of Inquiry Act 1966.</w:t>
      </w:r>
    </w:p>
  </w:footnote>
  <w:footnote w:id="108">
    <w:p w14:paraId="4BD7AB16">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LPDC v. Fawehinmi [1985] 2 NWLR (Pt. 7) p. 300.</w:t>
      </w:r>
    </w:p>
  </w:footnote>
  <w:footnote w:id="109">
    <w:p w14:paraId="6DD5A007">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Olaniyan v. University of Lagos (1985) 2 NWLR (Pt. 9) p.599.</w:t>
      </w:r>
    </w:p>
  </w:footnote>
  <w:footnote w:id="110">
    <w:p w14:paraId="19ABB445">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See FCCPA, s. 56.</w:t>
      </w:r>
    </w:p>
  </w:footnote>
  <w:footnote w:id="111">
    <w:p w14:paraId="7E1BC30C">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Saraki v FRN [2016] 2 NWLR (Pt. 1495) C. A. 25 at28.</w:t>
      </w:r>
    </w:p>
  </w:footnote>
  <w:footnote w:id="112">
    <w:p w14:paraId="4588B2B0">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M. P. P. P. v I. N. E. C. (NO.2) [2015] 18 NWLR (Pt. 1491) S. C. 251 at 269-270, 281.</w:t>
      </w:r>
    </w:p>
  </w:footnote>
  <w:footnote w:id="113">
    <w:p w14:paraId="55A37D3E">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J. E. Penner, </w:t>
      </w:r>
      <w:r>
        <w:rPr>
          <w:rFonts w:ascii="Times New Roman" w:hAnsi="Times New Roman" w:cs="Times New Roman"/>
          <w:i/>
        </w:rPr>
        <w:t>McCoubrey and White’s Textbook on Jurisprudence,</w:t>
      </w:r>
      <w:r>
        <w:rPr>
          <w:rFonts w:ascii="Times New Roman" w:hAnsi="Times New Roman" w:cs="Times New Roman"/>
        </w:rPr>
        <w:t xml:space="preserve"> New York: (4th Ed, Oxford University Press, 2008) pp. 56-60.</w:t>
      </w:r>
    </w:p>
  </w:footnote>
  <w:footnote w:id="114">
    <w:p w14:paraId="6D38F0B9">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lang w:val="en-GB"/>
        </w:rPr>
        <w:t>now FCCPC Act Cap C25, LFN 2004.</w:t>
      </w:r>
    </w:p>
  </w:footnote>
  <w:footnote w:id="115">
    <w:p w14:paraId="145FDD0B">
      <w:pPr>
        <w:pStyle w:val="8"/>
        <w:jc w:val="both"/>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(unreported) Suit No: FHC/ABJ/CS/26/2022, a judgment delivered on 27th June, 2023.</w:t>
      </w:r>
    </w:p>
  </w:footnote>
  <w:footnote w:id="116">
    <w:p w14:paraId="2AD49FBE">
      <w:pPr>
        <w:pStyle w:val="11"/>
        <w:spacing w:before="0" w:beforeAutospacing="0" w:after="0" w:afterAutospacing="0"/>
        <w:jc w:val="both"/>
        <w:rPr>
          <w:i/>
          <w:sz w:val="20"/>
          <w:szCs w:val="20"/>
        </w:rPr>
      </w:pPr>
      <w:r>
        <w:rPr>
          <w:rStyle w:val="7"/>
          <w:sz w:val="20"/>
          <w:szCs w:val="20"/>
        </w:rPr>
        <w:footnoteRef/>
      </w:r>
      <w:r>
        <w:rPr>
          <w:sz w:val="20"/>
          <w:szCs w:val="20"/>
        </w:rPr>
        <w:t xml:space="preserve"> Pursuant to </w:t>
      </w:r>
      <w:r>
        <w:rPr>
          <w:rStyle w:val="5"/>
          <w:sz w:val="20"/>
          <w:szCs w:val="20"/>
        </w:rPr>
        <w:t>ss. 1 (c), 2, 3, 17 (e), 18, 32, 33, 104, 164, and 133 (2).</w:t>
      </w:r>
    </w:p>
  </w:footnote>
  <w:footnote w:id="117">
    <w:p w14:paraId="350A345C">
      <w:pPr>
        <w:pStyle w:val="8"/>
        <w:jc w:val="both"/>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The Court dismissed Premiere’s argument that the police investigation of a conduct necessarily preempts a regulatory investigation of the same conduct from the standpoint of consumer rights. The Court rejected Premiere’s argument that a criminal investigation into an allegation of rape or molestation of a student while under the care of Premiere constitutes a bar and prevents the Commission from investigating any failure(s) in the duty of care owed to a student as a consumer of services provided by the school.</w:t>
      </w:r>
    </w:p>
  </w:footnote>
  <w:footnote w:id="118">
    <w:p w14:paraId="58A769C6">
      <w:pPr>
        <w:pStyle w:val="8"/>
        <w:spacing w:line="360" w:lineRule="auto"/>
        <w:rPr>
          <w:rFonts w:ascii="Times New Roman" w:hAnsi="Times New Roman" w:cs="Times New Roman"/>
        </w:rPr>
      </w:pPr>
      <w:r>
        <w:rPr>
          <w:rStyle w:val="7"/>
          <w:rFonts w:ascii="Times New Roman" w:hAnsi="Times New Roman" w:cs="Times New Roman"/>
        </w:rPr>
        <w:footnoteRef/>
      </w:r>
      <w:r>
        <w:fldChar w:fldCharType="begin"/>
      </w:r>
      <w:r>
        <w:instrText xml:space="preserve"> HYPERLINK "https://fccpc.gov.ng/criminal-attack-on-ms-greatness-olorunfemi-and-subsequent-medical-attention-and-fatal-outcome-re-maitama-district-hospital/" </w:instrText>
      </w:r>
      <w:r>
        <w:fldChar w:fldCharType="separate"/>
      </w:r>
      <w:r>
        <w:rPr>
          <w:rStyle w:val="10"/>
          <w:rFonts w:ascii="Times New Roman" w:hAnsi="Times New Roman" w:cs="Times New Roman"/>
        </w:rPr>
        <w:t>https://fccpc.gov.ng/criminal-attack-on-ms-greatness-olorunfemi-and-subsequent-medical-attention-and-fatal-outcome-re-maitama-district-hospital/</w:t>
      </w:r>
      <w:r>
        <w:fldChar w:fldCharType="end"/>
      </w:r>
      <w:r>
        <w:rPr>
          <w:rFonts w:ascii="Times New Roman" w:hAnsi="Times New Roman" w:cs="Times New Roman"/>
        </w:rPr>
        <w:t>&gt; accessed 3rd October, 2023.</w:t>
      </w:r>
    </w:p>
  </w:footnote>
  <w:footnote w:id="119">
    <w:p w14:paraId="56A177B9">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The Commission is yet to make its decision on this matter as at the time of conclusion of this study.</w:t>
      </w:r>
    </w:p>
  </w:footnote>
  <w:footnote w:id="120">
    <w:p w14:paraId="036FC8D6">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w:t>
      </w:r>
    </w:p>
  </w:footnote>
  <w:footnote w:id="121">
    <w:p w14:paraId="43D0E202">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i/>
        </w:rPr>
        <w:t>Ibid</w:t>
      </w:r>
      <w:r>
        <w:rPr>
          <w:rFonts w:ascii="Times New Roman" w:hAnsi="Times New Roman" w:cs="Times New Roman"/>
        </w:rPr>
        <w:t>, ss. 39(2)(3) and 47(1)(a-d).</w:t>
      </w:r>
    </w:p>
  </w:footnote>
  <w:footnote w:id="122">
    <w:p w14:paraId="39D0FA74">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i/>
        </w:rPr>
        <w:t>Ibid</w:t>
      </w:r>
      <w:r>
        <w:rPr>
          <w:rFonts w:ascii="Times New Roman" w:hAnsi="Times New Roman" w:cs="Times New Roman"/>
        </w:rPr>
        <w:t xml:space="preserve"> s. 47(2).</w:t>
      </w:r>
    </w:p>
  </w:footnote>
  <w:footnote w:id="123">
    <w:p w14:paraId="762DAEA9">
      <w:pPr>
        <w:pStyle w:val="8"/>
        <w:rPr>
          <w:rFonts w:ascii="Times New Roman" w:hAnsi="Times New Roman" w:cs="Times New Roman"/>
        </w:rPr>
      </w:pPr>
      <w:r>
        <w:rPr>
          <w:rStyle w:val="7"/>
          <w:rFonts w:ascii="Times New Roman" w:hAnsi="Times New Roman" w:cs="Times New Roman"/>
        </w:rPr>
        <w:footnoteRef/>
      </w:r>
      <w:r>
        <w:rPr>
          <w:rStyle w:val="7"/>
          <w:rFonts w:ascii="Times New Roman" w:hAnsi="Times New Roman" w:cs="Times New Roman"/>
        </w:rPr>
        <w:footnoteRef/>
      </w:r>
      <w:r>
        <w:rPr>
          <w:rFonts w:ascii="Times New Roman" w:hAnsi="Times New Roman" w:cs="Times New Roman"/>
        </w:rPr>
        <w:t xml:space="preserve"> CCPT homepage &lt;</w:t>
      </w:r>
      <w:r>
        <w:fldChar w:fldCharType="begin"/>
      </w:r>
      <w:r>
        <w:instrText xml:space="preserve"> HYPERLINK "https://ccpt.gov.ng/2023/07/13/court-fines-stanbic-ibtc-n120m-over-failed-transfer/" </w:instrText>
      </w:r>
      <w:r>
        <w:fldChar w:fldCharType="separate"/>
      </w:r>
      <w:r>
        <w:rPr>
          <w:rStyle w:val="10"/>
          <w:rFonts w:ascii="Times New Roman" w:hAnsi="Times New Roman" w:cs="Times New Roman"/>
        </w:rPr>
        <w:t>https://ccpt.gov.ng/2023/07/13/court-fines-stanbic-ibtc-n120m-over-failed-transfer/</w:t>
      </w:r>
      <w:r>
        <w:fldChar w:fldCharType="end"/>
      </w:r>
      <w:r>
        <w:rPr>
          <w:rFonts w:ascii="Times New Roman" w:hAnsi="Times New Roman" w:cs="Times New Roman"/>
        </w:rPr>
        <w:t>&gt; accessed 3rd October, 2023</w:t>
      </w:r>
    </w:p>
  </w:footnote>
  <w:footnote w:id="124">
    <w:p w14:paraId="1813807D">
      <w:pPr>
        <w:pStyle w:val="8"/>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The Tribunal, however, refused to award the sum of N5 million to Osuya as compensation on the ground that he failed to prove any injury he suffered as a result of the failure of service delivery by the bank.</w:t>
      </w:r>
    </w:p>
  </w:footnote>
  <w:footnote w:id="125">
    <w:p w14:paraId="32AF9C15">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54.</w:t>
      </w:r>
    </w:p>
  </w:footnote>
  <w:footnote w:id="126">
    <w:p w14:paraId="7B43C4B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i/>
        </w:rPr>
        <w:t>Ibid</w:t>
      </w:r>
      <w:r>
        <w:rPr>
          <w:rFonts w:ascii="Times New Roman" w:hAnsi="Times New Roman" w:cs="Times New Roman"/>
        </w:rPr>
        <w:t xml:space="preserve"> s. 55(1).</w:t>
      </w:r>
    </w:p>
  </w:footnote>
  <w:footnote w:id="127">
    <w:p w14:paraId="779857EE">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The Constitution, 235.  See also the case of </w:t>
      </w:r>
      <w:r>
        <w:rPr>
          <w:rFonts w:ascii="Times New Roman" w:hAnsi="Times New Roman" w:cs="Times New Roman"/>
          <w:i/>
        </w:rPr>
        <w:t>Adegoke Motors v Adesanya</w:t>
      </w:r>
      <w:r>
        <w:rPr>
          <w:rFonts w:ascii="Times New Roman" w:hAnsi="Times New Roman" w:cs="Times New Roman"/>
        </w:rPr>
        <w:t xml:space="preserve"> [1983]3 NWLR (Pt 109) 250 at 274-275.</w:t>
      </w:r>
    </w:p>
  </w:footnote>
  <w:footnote w:id="128">
    <w:p w14:paraId="1E967C89">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Hereinafter, “the FCCPA”.</w:t>
      </w:r>
    </w:p>
  </w:footnote>
  <w:footnote w:id="129">
    <w:p w14:paraId="3213743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CCPT official website &lt;</w:t>
      </w:r>
      <w:r>
        <w:fldChar w:fldCharType="begin"/>
      </w:r>
      <w:r>
        <w:instrText xml:space="preserve"> HYPERLINK "https://ccpt.gov.ng/" </w:instrText>
      </w:r>
      <w:r>
        <w:fldChar w:fldCharType="separate"/>
      </w:r>
      <w:r>
        <w:rPr>
          <w:rStyle w:val="10"/>
          <w:rFonts w:ascii="Times New Roman" w:hAnsi="Times New Roman" w:cs="Times New Roman"/>
        </w:rPr>
        <w:t>https://ccpt.gov.ng/</w:t>
      </w:r>
      <w:r>
        <w:fldChar w:fldCharType="end"/>
      </w:r>
      <w:r>
        <w:rPr>
          <w:rFonts w:ascii="Times New Roman" w:hAnsi="Times New Roman" w:cs="Times New Roman"/>
        </w:rPr>
        <w:t>&gt; accessed 9th October, 2023.</w:t>
      </w:r>
    </w:p>
  </w:footnote>
  <w:footnote w:id="130">
    <w:p w14:paraId="113AA1DB">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See FCCPA, s. 40(1)(b).</w:t>
      </w:r>
    </w:p>
  </w:footnote>
  <w:footnote w:id="131">
    <w:p w14:paraId="245FE3C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eastAsia="Times New Roman" w:cs="Times New Roman"/>
          <w:color w:val="000000"/>
        </w:rPr>
        <w:t>A member under section 43 who feels can no longer perform the functions anymore has a right to resign following due process provided in that section. In section 44, a member can as well be removed from office by the Nigeria president and replaced by another person.</w:t>
      </w:r>
    </w:p>
  </w:footnote>
  <w:footnote w:id="132">
    <w:p w14:paraId="113E981C">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eastAsia="Times New Roman" w:cs="Times New Roman"/>
          <w:color w:val="000000"/>
        </w:rPr>
        <w:t>FCCPA, s. 41.</w:t>
      </w:r>
    </w:p>
  </w:footnote>
  <w:footnote w:id="133">
    <w:p w14:paraId="14575B29">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eastAsia="Times New Roman" w:cs="Times New Roman"/>
        </w:rPr>
        <w:t>[2003]LPELR-7292(CA).</w:t>
      </w:r>
    </w:p>
  </w:footnote>
  <w:footnote w:id="134">
    <w:p w14:paraId="7109F15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46.</w:t>
      </w:r>
    </w:p>
  </w:footnote>
  <w:footnote w:id="135">
    <w:p w14:paraId="36374879">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Style w:val="12"/>
          <w:rFonts w:ascii="Times New Roman" w:hAnsi="Times New Roman" w:cs="Times New Roman"/>
          <w:b w:val="0"/>
        </w:rPr>
        <w:t>[2021] LPELR-55015(CA).</w:t>
      </w:r>
    </w:p>
  </w:footnote>
  <w:footnote w:id="136">
    <w:p w14:paraId="5EA6B444">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[1998] 10 NWLR (pt. 570)392.</w:t>
      </w:r>
    </w:p>
  </w:footnote>
  <w:footnote w:id="137">
    <w:p w14:paraId="57B61AB5">
      <w:pPr>
        <w:pStyle w:val="8"/>
        <w:spacing w:line="360" w:lineRule="auto"/>
        <w:rPr>
          <w:rFonts w:ascii="Times New Roman" w:hAnsi="Times New Roman" w:cs="Times New Roman"/>
          <w:b/>
        </w:rPr>
      </w:pPr>
      <w:r>
        <w:rPr>
          <w:rStyle w:val="7"/>
          <w:rFonts w:ascii="Times New Roman" w:hAnsi="Times New Roman" w:cs="Times New Roman"/>
        </w:rPr>
        <w:footnoteRef/>
      </w:r>
      <w:r>
        <w:rPr>
          <w:rFonts w:ascii="Times New Roman" w:hAnsi="Times New Roman" w:cs="Times New Roman"/>
        </w:rPr>
        <w:t xml:space="preserve"> See also </w:t>
      </w:r>
      <w:r>
        <w:rPr>
          <w:rFonts w:ascii="Times New Roman" w:hAnsi="Times New Roman" w:cs="Times New Roman"/>
          <w:i/>
        </w:rPr>
        <w:t>Madukolu vs. Nkemdilim</w:t>
      </w:r>
      <w:r>
        <w:rPr>
          <w:rFonts w:ascii="Times New Roman" w:hAnsi="Times New Roman" w:cs="Times New Roman"/>
        </w:rPr>
        <w:t xml:space="preserve"> [1962]2 SCNLR 341; </w:t>
      </w:r>
      <w:r>
        <w:rPr>
          <w:rStyle w:val="12"/>
          <w:rFonts w:ascii="Times New Roman" w:hAnsi="Times New Roman" w:cs="Times New Roman"/>
          <w:b w:val="0"/>
          <w:i/>
        </w:rPr>
        <w:t>Ukut and Ors v APC and Ors</w:t>
      </w:r>
      <w:r>
        <w:rPr>
          <w:rStyle w:val="12"/>
          <w:rFonts w:ascii="Times New Roman" w:hAnsi="Times New Roman" w:cs="Times New Roman"/>
          <w:b w:val="0"/>
        </w:rPr>
        <w:t xml:space="preserve"> [2019] LPELR-47203(CA) for ingredients that exist before court assume jurisdiction.</w:t>
      </w:r>
    </w:p>
  </w:footnote>
  <w:footnote w:id="138">
    <w:p w14:paraId="5361757C">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(2022) JELR 109969 (SC) 108.</w:t>
      </w:r>
    </w:p>
  </w:footnote>
  <w:footnote w:id="139">
    <w:p w14:paraId="3DA751E6">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&lt; </w:t>
      </w:r>
      <w:r>
        <w:fldChar w:fldCharType="begin"/>
      </w:r>
      <w:r>
        <w:instrText xml:space="preserve"> HYPERLINK "https://punchng.com/tribunal-on-competition-consumer-protection-unveils-practise-rules" </w:instrText>
      </w:r>
      <w:r>
        <w:fldChar w:fldCharType="separate"/>
      </w:r>
      <w:r>
        <w:rPr>
          <w:rStyle w:val="10"/>
          <w:rFonts w:ascii="Times New Roman" w:hAnsi="Times New Roman" w:cs="Times New Roman"/>
        </w:rPr>
        <w:t>https://punchng.com/tribunal-on-competition-consumer-protection-unveils-practise-rules</w:t>
      </w:r>
      <w:r>
        <w:fldChar w:fldCharType="end"/>
      </w:r>
      <w:r>
        <w:rPr>
          <w:rFonts w:ascii="Times New Roman" w:hAnsi="Times New Roman" w:cs="Times New Roman"/>
        </w:rPr>
        <w:t>&gt; accessed 5th October, 2023.</w:t>
      </w:r>
    </w:p>
  </w:footnote>
  <w:footnote w:id="140">
    <w:p w14:paraId="37110D68">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Chairman of CCPT.</w:t>
      </w:r>
    </w:p>
  </w:footnote>
  <w:footnote w:id="141">
    <w:p w14:paraId="39112CC2">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Regrettable, the launched Rule of practise is not yet accessible in the CCPT official website as of today_ 22th November, 2023. I have sent numerous mails to their official email address and have not gotten a response yet.</w:t>
      </w:r>
    </w:p>
  </w:footnote>
  <w:footnote w:id="142">
    <w:p w14:paraId="741269D9">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w:t>
      </w:r>
      <w:r>
        <w:rPr>
          <w:rFonts w:ascii="Times New Roman" w:hAnsi="Times New Roman" w:cs="Times New Roman"/>
          <w:color w:val="000000"/>
        </w:rPr>
        <w:t>50(1).</w:t>
      </w:r>
    </w:p>
  </w:footnote>
  <w:footnote w:id="143">
    <w:p w14:paraId="0F806AFA">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Ibid,</w:t>
      </w:r>
      <w:r>
        <w:rPr>
          <w:rFonts w:ascii="Times New Roman" w:hAnsi="Times New Roman" w:cs="Times New Roman"/>
        </w:rPr>
        <w:t>, s. 54(a).</w:t>
      </w:r>
    </w:p>
  </w:footnote>
  <w:footnote w:id="144">
    <w:p w14:paraId="198C74C3">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47.</w:t>
      </w:r>
    </w:p>
  </w:footnote>
  <w:footnote w:id="145">
    <w:p w14:paraId="7FD90DF9">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45 and 46.</w:t>
      </w:r>
    </w:p>
  </w:footnote>
  <w:footnote w:id="146">
    <w:p w14:paraId="3D60C220">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 xml:space="preserve">Ibid, </w:t>
      </w:r>
      <w:r>
        <w:rPr>
          <w:rFonts w:ascii="Times New Roman" w:hAnsi="Times New Roman" w:cs="Times New Roman"/>
        </w:rPr>
        <w:t>s. 51.</w:t>
      </w:r>
    </w:p>
  </w:footnote>
  <w:footnote w:id="147">
    <w:p w14:paraId="5C6C95BA">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Ibid,</w:t>
      </w:r>
      <w:r>
        <w:rPr>
          <w:rFonts w:ascii="Times New Roman" w:hAnsi="Times New Roman" w:cs="Times New Roman"/>
        </w:rPr>
        <w:t xml:space="preserve"> s. 52.</w:t>
      </w:r>
    </w:p>
  </w:footnote>
  <w:footnote w:id="148">
    <w:p w14:paraId="1BBE897F">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i/>
        </w:rPr>
        <w:t xml:space="preserve"> Ibid</w:t>
      </w:r>
      <w:r>
        <w:rPr>
          <w:rFonts w:ascii="Times New Roman" w:hAnsi="Times New Roman" w:cs="Times New Roman"/>
        </w:rPr>
        <w:t>, s. 58(2)(a).</w:t>
      </w:r>
    </w:p>
  </w:footnote>
  <w:footnote w:id="149">
    <w:p w14:paraId="0E55B3CA">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i/>
        </w:rPr>
        <w:t>Ibid, s.</w:t>
      </w:r>
      <w:r>
        <w:rPr>
          <w:rFonts w:ascii="Times New Roman" w:hAnsi="Times New Roman" w:cs="Times New Roman"/>
        </w:rPr>
        <w:t xml:space="preserve"> 51(1) (2) (3).</w:t>
      </w:r>
    </w:p>
  </w:footnote>
  <w:footnote w:id="150">
    <w:p w14:paraId="467A1042">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Section 25 of the Court of Appeal Act provides within 3 months after the judgment was delivered. But in the case of interlocutory decision, is within fourteen (14) days according to section 24(2)(a) of the same Act.</w:t>
      </w:r>
    </w:p>
  </w:footnote>
  <w:footnote w:id="151">
    <w:p w14:paraId="53E0E258">
      <w:pPr>
        <w:spacing w:line="360" w:lineRule="auto"/>
        <w:rPr>
          <w:rFonts w:ascii="Times New Roman" w:hAnsi="Times New Roman" w:eastAsia="Times New Roman" w:cs="Times New Roman"/>
          <w:sz w:val="20"/>
          <w:szCs w:val="20"/>
        </w:rPr>
      </w:pPr>
      <w:r>
        <w:rPr>
          <w:rStyle w:val="7"/>
          <w:rFonts w:ascii="Times New Roman" w:hAnsi="Times New Roman" w:cs="Times New Roman"/>
          <w:sz w:val="20"/>
          <w:szCs w:val="20"/>
        </w:rPr>
        <w:footnoteRef/>
      </w:r>
      <w:r>
        <w:rPr>
          <w:rFonts w:ascii="Times New Roman" w:hAnsi="Times New Roman" w:cs="Times New Roman"/>
          <w:sz w:val="20"/>
          <w:szCs w:val="20"/>
        </w:rPr>
        <w:t xml:space="preserve"> The Act equally provides for right to a legal representation; </w:t>
      </w:r>
      <w:r>
        <w:rPr>
          <w:rFonts w:ascii="Times New Roman" w:hAnsi="Times New Roman" w:eastAsia="Times New Roman" w:cs="Times New Roman"/>
          <w:color w:val="000000"/>
          <w:sz w:val="20"/>
          <w:szCs w:val="20"/>
        </w:rPr>
        <w:t>Section 56(1) provides-</w:t>
      </w:r>
      <w:r>
        <w:rPr>
          <w:rFonts w:ascii="Times New Roman" w:hAnsi="Times New Roman" w:eastAsia="Times New Roman" w:cs="Times New Roman"/>
          <w:sz w:val="20"/>
          <w:szCs w:val="20"/>
        </w:rPr>
        <w:t xml:space="preserve"> </w:t>
      </w:r>
      <w:r>
        <w:rPr>
          <w:rFonts w:ascii="Times New Roman" w:hAnsi="Times New Roman" w:eastAsia="Times New Roman" w:cs="Times New Roman"/>
          <w:color w:val="000000"/>
          <w:sz w:val="20"/>
          <w:szCs w:val="20"/>
        </w:rPr>
        <w:t>any party to a proceeding before the Tribunal may either appear in person or authorise one or more legal practitioners or any of its officers to represent the party before the Tribunal.</w:t>
      </w:r>
    </w:p>
  </w:footnote>
  <w:footnote w:id="152">
    <w:p w14:paraId="446A77A7">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54.</w:t>
      </w:r>
    </w:p>
  </w:footnote>
  <w:footnote w:id="153">
    <w:p w14:paraId="66536343">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47(2).</w:t>
      </w:r>
    </w:p>
  </w:footnote>
  <w:footnote w:id="154">
    <w:p w14:paraId="1F48A4E0">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The Tribunal in rare cases can make order or rulings from appeal coming directing from regulatory authorities. See ss. 39(2)(3); 47(1)(a-d) of the FCCPA.</w:t>
      </w:r>
    </w:p>
  </w:footnote>
  <w:footnote w:id="155">
    <w:p w14:paraId="25BA908C">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Constitution of the Federal Republic of Nigeria 1999 (Fourth Alteration No 21) Act 2018.</w:t>
      </w:r>
    </w:p>
  </w:footnote>
  <w:footnote w:id="156">
    <w:p w14:paraId="372363B0">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Powers of Director-General in relation to hazardous products.</w:t>
      </w:r>
    </w:p>
  </w:footnote>
  <w:footnote w:id="157">
    <w:p w14:paraId="76E2917C">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FCCPA, s. 41.</w:t>
      </w:r>
    </w:p>
  </w:footnote>
  <w:footnote w:id="158">
    <w:p w14:paraId="22F89937">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Benjamin Iverson, and others; </w:t>
      </w:r>
      <w:r>
        <w:rPr>
          <w:rFonts w:ascii="Times New Roman" w:hAnsi="Times New Roman" w:cs="Times New Roman"/>
          <w:i/>
        </w:rPr>
        <w:t>Practice Makes Perfect: Judge Experience and Bankruptcy Outcomes</w:t>
      </w:r>
      <w:r>
        <w:rPr>
          <w:rFonts w:ascii="Times New Roman" w:hAnsi="Times New Roman" w:cs="Times New Roman"/>
        </w:rPr>
        <w:t xml:space="preserve"> (OBLB, 22rd December 2017). &lt; </w:t>
      </w:r>
      <w:r>
        <w:fldChar w:fldCharType="begin"/>
      </w:r>
      <w:r>
        <w:instrText xml:space="preserve"> HYPERLINK "https://www.law.ox.ac.uk/business-law-blog/blog/2017/12/practice-makes-perfect" </w:instrText>
      </w:r>
      <w:r>
        <w:fldChar w:fldCharType="separate"/>
      </w:r>
      <w:r>
        <w:rPr>
          <w:rStyle w:val="10"/>
          <w:rFonts w:ascii="Times New Roman" w:hAnsi="Times New Roman" w:cs="Times New Roman"/>
        </w:rPr>
        <w:t>https://www.law.ox.ac.uk/business-law-blog/blog/2017/12/practice-makes-perfect</w:t>
      </w:r>
      <w:r>
        <w:fldChar w:fldCharType="end"/>
      </w:r>
      <w:r>
        <w:rPr>
          <w:rFonts w:ascii="Times New Roman" w:hAnsi="Times New Roman" w:cs="Times New Roman"/>
        </w:rPr>
        <w:t>&gt; accessed 8th October, 2023.</w:t>
      </w:r>
    </w:p>
  </w:footnote>
  <w:footnote w:id="159">
    <w:p w14:paraId="43581544">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South Africa Competition Act, s. 26(b).</w:t>
      </w:r>
    </w:p>
  </w:footnote>
  <w:footnote w:id="160">
    <w:p w14:paraId="619EB835">
      <w:pPr>
        <w:pStyle w:val="8"/>
        <w:spacing w:line="360" w:lineRule="auto"/>
        <w:rPr>
          <w:rFonts w:ascii="Times New Roman" w:hAnsi="Times New Roman" w:cs="Times New Roman"/>
        </w:rPr>
      </w:pPr>
      <w:r>
        <w:rPr>
          <w:rStyle w:val="7"/>
          <w:rFonts w:ascii="Times New Roman" w:hAnsi="Times New Roman" w:cs="Times New Roman"/>
        </w:rPr>
        <w:footnoteRef/>
      </w:r>
      <w:r>
        <w:rPr>
          <w:rFonts w:ascii="Times New Roman" w:hAnsi="Times New Roman" w:cs="Times New Roman"/>
        </w:rPr>
        <w:t xml:space="preserve"> </w:t>
      </w:r>
      <w:r>
        <w:rPr>
          <w:rStyle w:val="20"/>
          <w:rFonts w:ascii="Times New Roman" w:hAnsi="Times New Roman" w:cs="Times New Roman"/>
        </w:rPr>
        <w:t>[2015] LLJR-SC.</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lowerRoman"/>
      <w:lvlText w:val="%1."/>
      <w:lvlJc w:val="left"/>
      <w:pPr>
        <w:ind w:left="1080" w:hanging="72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0000001"/>
    <w:multiLevelType w:val="multilevel"/>
    <w:tmpl w:val="0000000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00000002"/>
    <w:multiLevelType w:val="multilevel"/>
    <w:tmpl w:val="00000002"/>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00000003"/>
    <w:multiLevelType w:val="multilevel"/>
    <w:tmpl w:val="00000003"/>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00000004"/>
    <w:multiLevelType w:val="multilevel"/>
    <w:tmpl w:val="00000004"/>
    <w:lvl w:ilvl="0" w:tentative="0">
      <w:start w:val="1"/>
      <w:numFmt w:val="decimal"/>
      <w:lvlText w:val="%1."/>
      <w:lvlJc w:val="left"/>
      <w:pPr>
        <w:ind w:left="1440" w:hanging="360"/>
      </w:p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5">
    <w:nsid w:val="00000005"/>
    <w:multiLevelType w:val="multilevel"/>
    <w:tmpl w:val="00000005"/>
    <w:lvl w:ilvl="0" w:tentative="0">
      <w:start w:val="1"/>
      <w:numFmt w:val="lowerRoman"/>
      <w:lvlText w:val="%1."/>
      <w:lvlJc w:val="right"/>
      <w:pPr>
        <w:ind w:left="1080" w:hanging="360"/>
      </w:pPr>
    </w:lvl>
    <w:lvl w:ilvl="1" w:tentative="0">
      <w:start w:val="1"/>
      <w:numFmt w:val="decimal"/>
      <w:isLgl/>
      <w:lvlText w:val="%1.%2"/>
      <w:lvlJc w:val="left"/>
      <w:pPr>
        <w:ind w:left="1260" w:hanging="540"/>
      </w:pPr>
      <w:rPr>
        <w:rFonts w:hint="default"/>
      </w:rPr>
    </w:lvl>
    <w:lvl w:ilvl="2" w:tentative="0">
      <w:start w:val="5"/>
      <w:numFmt w:val="decimal"/>
      <w:isLgl/>
      <w:lvlText w:val="%1.%2.%3"/>
      <w:lvlJc w:val="left"/>
      <w:pPr>
        <w:ind w:left="1440" w:hanging="720"/>
      </w:pPr>
      <w:rPr>
        <w:rFonts w:hint="default"/>
      </w:rPr>
    </w:lvl>
    <w:lvl w:ilvl="3" w:tentative="0">
      <w:start w:val="1"/>
      <w:numFmt w:val="decimal"/>
      <w:isLgl/>
      <w:lvlText w:val="%1.%2.%3.%4"/>
      <w:lvlJc w:val="left"/>
      <w:pPr>
        <w:ind w:left="1440" w:hanging="720"/>
      </w:pPr>
      <w:rPr>
        <w:rFonts w:hint="default"/>
      </w:rPr>
    </w:lvl>
    <w:lvl w:ilvl="4" w:tentative="0">
      <w:start w:val="1"/>
      <w:numFmt w:val="decimal"/>
      <w:isLgl/>
      <w:lvlText w:val="%1.%2.%3.%4.%5"/>
      <w:lvlJc w:val="left"/>
      <w:pPr>
        <w:ind w:left="1800" w:hanging="1080"/>
      </w:pPr>
      <w:rPr>
        <w:rFonts w:hint="default"/>
      </w:rPr>
    </w:lvl>
    <w:lvl w:ilvl="5" w:tentative="0">
      <w:start w:val="1"/>
      <w:numFmt w:val="decimal"/>
      <w:isLgl/>
      <w:lvlText w:val="%1.%2.%3.%4.%5.%6"/>
      <w:lvlJc w:val="left"/>
      <w:pPr>
        <w:ind w:left="1800" w:hanging="1080"/>
      </w:pPr>
      <w:rPr>
        <w:rFonts w:hint="default"/>
      </w:rPr>
    </w:lvl>
    <w:lvl w:ilvl="6" w:tentative="0">
      <w:start w:val="1"/>
      <w:numFmt w:val="decimal"/>
      <w:isLgl/>
      <w:lvlText w:val="%1.%2.%3.%4.%5.%6.%7"/>
      <w:lvlJc w:val="left"/>
      <w:pPr>
        <w:ind w:left="2160" w:hanging="1440"/>
      </w:pPr>
      <w:rPr>
        <w:rFonts w:hint="default"/>
      </w:rPr>
    </w:lvl>
    <w:lvl w:ilvl="7" w:tentative="0">
      <w:start w:val="1"/>
      <w:numFmt w:val="decimal"/>
      <w:isLgl/>
      <w:lvlText w:val="%1.%2.%3.%4.%5.%6.%7.%8"/>
      <w:lvlJc w:val="left"/>
      <w:pPr>
        <w:ind w:left="2160" w:hanging="1440"/>
      </w:pPr>
      <w:rPr>
        <w:rFonts w:hint="default"/>
      </w:rPr>
    </w:lvl>
    <w:lvl w:ilvl="8" w:tentative="0">
      <w:start w:val="1"/>
      <w:numFmt w:val="decimal"/>
      <w:isLgl/>
      <w:lvlText w:val="%1.%2.%3.%4.%5.%6.%7.%8.%9"/>
      <w:lvlJc w:val="left"/>
      <w:pPr>
        <w:ind w:left="2520" w:hanging="1800"/>
      </w:pPr>
      <w:rPr>
        <w:rFonts w:hint="default"/>
      </w:rPr>
    </w:lvl>
  </w:abstractNum>
  <w:abstractNum w:abstractNumId="6">
    <w:nsid w:val="00000006"/>
    <w:multiLevelType w:val="multilevel"/>
    <w:tmpl w:val="00000006"/>
    <w:lvl w:ilvl="0" w:tentative="0">
      <w:start w:val="1"/>
      <w:numFmt w:val="decimal"/>
      <w:lvlText w:val="%1."/>
      <w:lvlJc w:val="left"/>
      <w:pPr>
        <w:ind w:left="720" w:hanging="360"/>
      </w:pPr>
      <w:rPr>
        <w:rFonts w:hint="default"/>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00000007"/>
    <w:multiLevelType w:val="multilevel"/>
    <w:tmpl w:val="00000007"/>
    <w:lvl w:ilvl="0" w:tentative="0">
      <w:start w:val="1"/>
      <w:numFmt w:val="low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00000008"/>
    <w:multiLevelType w:val="multilevel"/>
    <w:tmpl w:val="00000008"/>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00000009"/>
    <w:multiLevelType w:val="multilevel"/>
    <w:tmpl w:val="0000000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0000000A"/>
    <w:multiLevelType w:val="multilevel"/>
    <w:tmpl w:val="0000000A"/>
    <w:lvl w:ilvl="0" w:tentative="0">
      <w:start w:val="1"/>
      <w:numFmt w:val="lowerRoman"/>
      <w:lvlText w:val="%1."/>
      <w:lvlJc w:val="right"/>
      <w:pPr>
        <w:ind w:left="1800" w:hanging="360"/>
      </w:pPr>
    </w:lvl>
    <w:lvl w:ilvl="1" w:tentative="0">
      <w:start w:val="1"/>
      <w:numFmt w:val="lowerLetter"/>
      <w:lvlText w:val="%2."/>
      <w:lvlJc w:val="left"/>
      <w:pPr>
        <w:ind w:left="2520" w:hanging="360"/>
      </w:pPr>
    </w:lvl>
    <w:lvl w:ilvl="2" w:tentative="0">
      <w:start w:val="1"/>
      <w:numFmt w:val="lowerRoman"/>
      <w:lvlText w:val="%3."/>
      <w:lvlJc w:val="right"/>
      <w:pPr>
        <w:ind w:left="3240" w:hanging="180"/>
      </w:pPr>
    </w:lvl>
    <w:lvl w:ilvl="3" w:tentative="0">
      <w:start w:val="1"/>
      <w:numFmt w:val="decimal"/>
      <w:lvlText w:val="%4."/>
      <w:lvlJc w:val="left"/>
      <w:pPr>
        <w:ind w:left="3960" w:hanging="360"/>
      </w:pPr>
    </w:lvl>
    <w:lvl w:ilvl="4" w:tentative="0">
      <w:start w:val="1"/>
      <w:numFmt w:val="lowerLetter"/>
      <w:lvlText w:val="%5."/>
      <w:lvlJc w:val="left"/>
      <w:pPr>
        <w:ind w:left="4680" w:hanging="360"/>
      </w:pPr>
    </w:lvl>
    <w:lvl w:ilvl="5" w:tentative="0">
      <w:start w:val="1"/>
      <w:numFmt w:val="lowerRoman"/>
      <w:lvlText w:val="%6."/>
      <w:lvlJc w:val="right"/>
      <w:pPr>
        <w:ind w:left="5400" w:hanging="180"/>
      </w:pPr>
    </w:lvl>
    <w:lvl w:ilvl="6" w:tentative="0">
      <w:start w:val="1"/>
      <w:numFmt w:val="decimal"/>
      <w:lvlText w:val="%7."/>
      <w:lvlJc w:val="left"/>
      <w:pPr>
        <w:ind w:left="6120" w:hanging="360"/>
      </w:pPr>
    </w:lvl>
    <w:lvl w:ilvl="7" w:tentative="0">
      <w:start w:val="1"/>
      <w:numFmt w:val="lowerLetter"/>
      <w:lvlText w:val="%8."/>
      <w:lvlJc w:val="left"/>
      <w:pPr>
        <w:ind w:left="6840" w:hanging="360"/>
      </w:pPr>
    </w:lvl>
    <w:lvl w:ilvl="8" w:tentative="0">
      <w:start w:val="1"/>
      <w:numFmt w:val="lowerRoman"/>
      <w:lvlText w:val="%9."/>
      <w:lvlJc w:val="right"/>
      <w:pPr>
        <w:ind w:left="7560" w:hanging="180"/>
      </w:pPr>
    </w:lvl>
  </w:abstractNum>
  <w:abstractNum w:abstractNumId="11">
    <w:nsid w:val="0000000B"/>
    <w:multiLevelType w:val="multilevel"/>
    <w:tmpl w:val="0000000B"/>
    <w:lvl w:ilvl="0" w:tentative="0">
      <w:start w:val="4"/>
      <w:numFmt w:val="decimal"/>
      <w:lvlText w:val="%1"/>
      <w:lvlJc w:val="left"/>
      <w:pPr>
        <w:ind w:left="360" w:hanging="360"/>
      </w:pPr>
      <w:rPr>
        <w:rFonts w:hint="default"/>
      </w:rPr>
    </w:lvl>
    <w:lvl w:ilvl="1" w:tentative="0">
      <w:start w:val="3"/>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2">
    <w:nsid w:val="0000000C"/>
    <w:multiLevelType w:val="multilevel"/>
    <w:tmpl w:val="0000000C"/>
    <w:lvl w:ilvl="0" w:tentative="0">
      <w:start w:val="1"/>
      <w:numFmt w:val="decimal"/>
      <w:lvlText w:val="%1."/>
      <w:lvlJc w:val="left"/>
      <w:pPr>
        <w:ind w:left="720" w:hanging="360"/>
      </w:pPr>
    </w:lvl>
    <w:lvl w:ilvl="1" w:tentative="0">
      <w:start w:val="1"/>
      <w:numFmt w:val="lowerRoman"/>
      <w:lvlText w:val="%2."/>
      <w:lvlJc w:val="left"/>
      <w:pPr>
        <w:ind w:left="1800" w:hanging="720"/>
      </w:pPr>
      <w:rPr>
        <w:rFonts w:hint="default"/>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
    <w:nsid w:val="0000000D"/>
    <w:multiLevelType w:val="multilevel"/>
    <w:tmpl w:val="0000000D"/>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
    <w:nsid w:val="0000000E"/>
    <w:multiLevelType w:val="multilevel"/>
    <w:tmpl w:val="0000000E"/>
    <w:lvl w:ilvl="0" w:tentative="0">
      <w:start w:val="1"/>
      <w:numFmt w:val="lowerRoman"/>
      <w:lvlText w:val="%1."/>
      <w:lvlJc w:val="righ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15">
    <w:nsid w:val="0000000F"/>
    <w:multiLevelType w:val="multilevel"/>
    <w:tmpl w:val="0000000F"/>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00000010"/>
    <w:multiLevelType w:val="multilevel"/>
    <w:tmpl w:val="0000001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
    <w:nsid w:val="00000011"/>
    <w:multiLevelType w:val="multilevel"/>
    <w:tmpl w:val="00000011"/>
    <w:lvl w:ilvl="0" w:tentative="0">
      <w:start w:val="1"/>
      <w:numFmt w:val="lowerRoman"/>
      <w:lvlText w:val="(%1)"/>
      <w:lvlJc w:val="left"/>
      <w:pPr>
        <w:ind w:left="1440" w:hanging="720"/>
      </w:pPr>
      <w:rPr>
        <w:rFonts w:hint="default"/>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18">
    <w:nsid w:val="00000012"/>
    <w:multiLevelType w:val="multilevel"/>
    <w:tmpl w:val="00000012"/>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9">
    <w:nsid w:val="00000013"/>
    <w:multiLevelType w:val="multilevel"/>
    <w:tmpl w:val="00000013"/>
    <w:lvl w:ilvl="0" w:tentative="0">
      <w:start w:val="1"/>
      <w:numFmt w:val="low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
    <w:nsid w:val="00000014"/>
    <w:multiLevelType w:val="multilevel"/>
    <w:tmpl w:val="00000014"/>
    <w:lvl w:ilvl="0" w:tentative="0">
      <w:start w:val="1"/>
      <w:numFmt w:val="low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00000015"/>
    <w:multiLevelType w:val="multilevel"/>
    <w:tmpl w:val="00000015"/>
    <w:lvl w:ilvl="0" w:tentative="0">
      <w:start w:val="1"/>
      <w:numFmt w:val="decimal"/>
      <w:lvlText w:val="(%1)"/>
      <w:lvlJc w:val="left"/>
      <w:pPr>
        <w:ind w:left="1080" w:hanging="360"/>
      </w:pPr>
      <w:rPr>
        <w:rFonts w:hint="default"/>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num w:numId="1">
    <w:abstractNumId w:val="21"/>
  </w:num>
  <w:num w:numId="2">
    <w:abstractNumId w:val="17"/>
  </w:num>
  <w:num w:numId="3">
    <w:abstractNumId w:val="19"/>
  </w:num>
  <w:num w:numId="4">
    <w:abstractNumId w:val="4"/>
  </w:num>
  <w:num w:numId="5">
    <w:abstractNumId w:val="0"/>
  </w:num>
  <w:num w:numId="6">
    <w:abstractNumId w:val="20"/>
  </w:num>
  <w:num w:numId="7">
    <w:abstractNumId w:val="15"/>
  </w:num>
  <w:num w:numId="8">
    <w:abstractNumId w:val="8"/>
  </w:num>
  <w:num w:numId="9">
    <w:abstractNumId w:val="18"/>
  </w:num>
  <w:num w:numId="10">
    <w:abstractNumId w:val="7"/>
  </w:num>
  <w:num w:numId="11">
    <w:abstractNumId w:val="12"/>
  </w:num>
  <w:num w:numId="12">
    <w:abstractNumId w:val="2"/>
  </w:num>
  <w:num w:numId="13">
    <w:abstractNumId w:val="10"/>
  </w:num>
  <w:num w:numId="14">
    <w:abstractNumId w:val="14"/>
  </w:num>
  <w:num w:numId="15">
    <w:abstractNumId w:val="5"/>
  </w:num>
  <w:num w:numId="16">
    <w:abstractNumId w:val="13"/>
  </w:num>
  <w:num w:numId="17">
    <w:abstractNumId w:val="11"/>
  </w:num>
  <w:num w:numId="18">
    <w:abstractNumId w:val="6"/>
  </w:num>
  <w:num w:numId="19">
    <w:abstractNumId w:val="3"/>
  </w:num>
  <w:num w:numId="20">
    <w:abstractNumId w:val="9"/>
  </w:num>
  <w:num w:numId="21">
    <w:abstractNumId w:val="16"/>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doNotDisplayPageBoundaries w:val="1"/>
  <w:documentProtection w:enforcement="0"/>
  <w:defaultTabStop w:val="720"/>
  <w:characterSpacingControl w:val="doNotCompress"/>
  <w:footnotePr>
    <w:footnote w:id="322"/>
    <w:footnote w:id="323"/>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AB07CD"/>
    <w:rsid w:val="4F9F432E"/>
    <w:rsid w:val="7EAF3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SimSu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SimSun"/>
      <w:sz w:val="22"/>
      <w:szCs w:val="22"/>
      <w:lang w:val="en-US" w:eastAsia="en-US" w:bidi="ar-SA"/>
    </w:rPr>
  </w:style>
  <w:style w:type="paragraph" w:styleId="2">
    <w:name w:val="heading 3"/>
    <w:basedOn w:val="1"/>
    <w:link w:val="16"/>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rPr>
  </w:style>
  <w:style w:type="character" w:default="1" w:styleId="3">
    <w:name w:val="Default Paragraph Font"/>
    <w:uiPriority w:val="1"/>
  </w:style>
  <w:style w:type="table" w:default="1" w:styleId="4">
    <w:name w:val="Normal Table"/>
    <w:qFormat/>
    <w:uiPriority w:val="99"/>
    <w:tblPr>
      <w:tblCellMar>
        <w:top w:w="0" w:type="dxa"/>
        <w:left w:w="108" w:type="dxa"/>
        <w:bottom w:w="0" w:type="dxa"/>
        <w:right w:w="108" w:type="dxa"/>
      </w:tblCellMar>
    </w:tblPr>
  </w:style>
  <w:style w:type="character" w:styleId="5">
    <w:name w:val="Emphasis"/>
    <w:basedOn w:val="3"/>
    <w:qFormat/>
    <w:uiPriority w:val="20"/>
    <w:rPr>
      <w:i/>
      <w:iCs/>
    </w:rPr>
  </w:style>
  <w:style w:type="paragraph" w:styleId="6">
    <w:name w:val="footer"/>
    <w:basedOn w:val="1"/>
    <w:link w:val="15"/>
    <w:uiPriority w:val="99"/>
    <w:pPr>
      <w:tabs>
        <w:tab w:val="center" w:pos="4680"/>
        <w:tab w:val="right" w:pos="9360"/>
      </w:tabs>
      <w:spacing w:after="0" w:line="240" w:lineRule="auto"/>
    </w:pPr>
  </w:style>
  <w:style w:type="character" w:styleId="7">
    <w:name w:val="footnote reference"/>
    <w:basedOn w:val="3"/>
    <w:uiPriority w:val="99"/>
    <w:rPr>
      <w:vertAlign w:val="superscript"/>
    </w:rPr>
  </w:style>
  <w:style w:type="paragraph" w:styleId="8">
    <w:name w:val="footnote text"/>
    <w:basedOn w:val="1"/>
    <w:link w:val="13"/>
    <w:qFormat/>
    <w:uiPriority w:val="99"/>
    <w:pPr>
      <w:spacing w:after="0" w:line="240" w:lineRule="auto"/>
    </w:pPr>
    <w:rPr>
      <w:sz w:val="20"/>
      <w:szCs w:val="20"/>
    </w:rPr>
  </w:style>
  <w:style w:type="paragraph" w:styleId="9">
    <w:name w:val="header"/>
    <w:basedOn w:val="1"/>
    <w:link w:val="19"/>
    <w:uiPriority w:val="99"/>
    <w:pPr>
      <w:tabs>
        <w:tab w:val="center" w:pos="4680"/>
        <w:tab w:val="right" w:pos="9360"/>
      </w:tabs>
      <w:spacing w:after="0" w:line="240" w:lineRule="auto"/>
    </w:pPr>
  </w:style>
  <w:style w:type="character" w:styleId="10">
    <w:name w:val="Hyperlink"/>
    <w:basedOn w:val="3"/>
    <w:uiPriority w:val="99"/>
    <w:rPr>
      <w:color w:val="0000FF"/>
      <w:u w:val="single"/>
    </w:rPr>
  </w:style>
  <w:style w:type="paragraph" w:styleId="11">
    <w:name w:val="Normal (Web)"/>
    <w:basedOn w:val="1"/>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styleId="12">
    <w:name w:val="Strong"/>
    <w:basedOn w:val="3"/>
    <w:qFormat/>
    <w:uiPriority w:val="22"/>
    <w:rPr>
      <w:b/>
      <w:bCs/>
    </w:rPr>
  </w:style>
  <w:style w:type="character" w:customStyle="1" w:styleId="13">
    <w:name w:val="Footnote Text Char"/>
    <w:basedOn w:val="3"/>
    <w:link w:val="8"/>
    <w:uiPriority w:val="99"/>
    <w:rPr>
      <w:sz w:val="20"/>
      <w:szCs w:val="20"/>
    </w:rPr>
  </w:style>
  <w:style w:type="character" w:customStyle="1" w:styleId="14">
    <w:name w:val="hgkelc"/>
    <w:basedOn w:val="3"/>
    <w:uiPriority w:val="0"/>
  </w:style>
  <w:style w:type="character" w:customStyle="1" w:styleId="15">
    <w:name w:val="Footer Char_32ae778b-4889-4996-aad5-0b3aaef95f33"/>
    <w:basedOn w:val="3"/>
    <w:link w:val="6"/>
    <w:uiPriority w:val="99"/>
  </w:style>
  <w:style w:type="character" w:customStyle="1" w:styleId="16">
    <w:name w:val="Heading 3 Char_ba786347-7b33-495a-a75b-a527e0dc1679"/>
    <w:basedOn w:val="3"/>
    <w:link w:val="2"/>
    <w:uiPriority w:val="9"/>
    <w:rPr>
      <w:rFonts w:ascii="Times New Roman" w:hAnsi="Times New Roman" w:eastAsia="Times New Roman" w:cs="Times New Roman"/>
      <w:b/>
      <w:bCs/>
      <w:sz w:val="27"/>
      <w:szCs w:val="27"/>
    </w:rPr>
  </w:style>
  <w:style w:type="paragraph" w:styleId="17">
    <w:name w:val="List Paragraph"/>
    <w:basedOn w:val="1"/>
    <w:qFormat/>
    <w:uiPriority w:val="34"/>
    <w:pPr>
      <w:ind w:left="720"/>
      <w:contextualSpacing/>
    </w:pPr>
  </w:style>
  <w:style w:type="character" w:customStyle="1" w:styleId="18">
    <w:name w:val="post-date"/>
    <w:basedOn w:val="3"/>
    <w:uiPriority w:val="0"/>
  </w:style>
  <w:style w:type="character" w:customStyle="1" w:styleId="19">
    <w:name w:val="Header Char_a5910521-8182-4a45-ab2f-fef75cd75285"/>
    <w:basedOn w:val="3"/>
    <w:link w:val="9"/>
    <w:uiPriority w:val="99"/>
  </w:style>
  <w:style w:type="character" w:customStyle="1" w:styleId="20">
    <w:name w:val="aioseo-breadcrumb"/>
    <w:basedOn w:val="3"/>
    <w:uiPriority w:val="0"/>
  </w:style>
  <w:style w:type="paragraph" w:customStyle="1" w:styleId="21">
    <w:name w:val="citation"/>
    <w:basedOn w:val="1"/>
    <w:uiPriority w:val="0"/>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22">
    <w:name w:val="17"/>
    <w:basedOn w:val="3"/>
    <w:uiPriority w:val="0"/>
    <w:rPr>
      <w:rFonts w:hint="default" w:ascii="Calibri" w:hAnsi="Calibri" w:cs="Calibri"/>
      <w:color w:val="0000FF"/>
      <w:u w:val="single"/>
    </w:rPr>
  </w:style>
  <w:style w:type="character" w:customStyle="1" w:styleId="23">
    <w:name w:val="15"/>
    <w:basedOn w:val="3"/>
    <w:uiPriority w:val="0"/>
    <w:rPr>
      <w:rFonts w:hint="default" w:ascii="Calibri" w:hAnsi="Calibri" w:cs="Calibri"/>
      <w:color w:val="0000FF"/>
      <w:u w:val="single"/>
    </w:rPr>
  </w:style>
  <w:style w:type="character" w:customStyle="1" w:styleId="24">
    <w:name w:val="16"/>
    <w:basedOn w:val="3"/>
    <w:uiPriority w:val="0"/>
    <w:rPr>
      <w:rFonts w:hint="default" w:ascii="Calibri" w:hAnsi="Calibri" w:cs="Calibri"/>
      <w:b/>
      <w:bCs/>
    </w:rPr>
  </w:style>
  <w:style w:type="paragraph" w:styleId="25">
    <w:name w:val="No Spacing"/>
    <w:qFormat/>
    <w:uiPriority w:val="1"/>
    <w:pPr>
      <w:spacing w:after="0" w:line="240" w:lineRule="auto"/>
    </w:pPr>
    <w:rPr>
      <w:rFonts w:ascii="Calibri" w:hAnsi="Calibri" w:eastAsia="Calibri" w:cs="SimSun"/>
      <w:sz w:val="22"/>
      <w:szCs w:val="2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109</Pages>
  <Words>23696</Words>
  <Characters>137057</Characters>
  <Paragraphs>1160</Paragraphs>
  <TotalTime>78</TotalTime>
  <ScaleCrop>false</ScaleCrop>
  <LinksUpToDate>false</LinksUpToDate>
  <CharactersWithSpaces>161205</CharactersWithSpaces>
  <Application>WPS Office_12.2.0.19307_F1E327BC-269C-435d-A152-05C5408002CA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2023-12-07T17:16:00Z</dcterms:created>
  <dc:creator>Windows User</dc:creator>
  <cp:lastModifiedBy>User</cp:lastModifiedBy>
  <dcterms:modified xsi:type="dcterms:W3CDTF">2026-02-21T01:39:13Z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BB931C9000D24EC6A88220D594B75BAA_12</vt:lpwstr>
  </property>
</Properties>
</file>